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40" w:rsidRPr="00F63892" w:rsidRDefault="00696E40" w:rsidP="00696E40">
      <w:pPr>
        <w:pStyle w:val="Puesto"/>
        <w:spacing w:after="0"/>
        <w:jc w:val="center"/>
        <w:rPr>
          <w:rFonts w:asciiTheme="minorHAnsi" w:hAnsiTheme="minorHAnsi"/>
          <w:b/>
          <w:lang w:val="es-ES_tradnl" w:eastAsia="en-US"/>
        </w:rPr>
      </w:pPr>
      <w:r w:rsidRPr="00F63892">
        <w:rPr>
          <w:rFonts w:asciiTheme="minorHAnsi" w:hAnsiTheme="minorHAnsi"/>
          <w:b/>
          <w:lang w:val="es-ES_tradnl" w:eastAsia="en-US"/>
        </w:rPr>
        <w:t>CUESTIONARIO SOBRE GESTIÓN DE RIESGO OPERATIVO</w:t>
      </w:r>
    </w:p>
    <w:p w:rsidR="00696E40" w:rsidRPr="00AF31B3" w:rsidRDefault="00696E40" w:rsidP="00F63892">
      <w:pPr>
        <w:pStyle w:val="Ttulo1"/>
      </w:pPr>
    </w:p>
    <w:p w:rsidR="00696E40" w:rsidRPr="00F63892" w:rsidRDefault="00696E40" w:rsidP="00F63892">
      <w:pPr>
        <w:pStyle w:val="Ttulo1"/>
      </w:pPr>
      <w:r w:rsidRPr="00F63892">
        <w:t>INTRODUCCIÓN</w:t>
      </w:r>
    </w:p>
    <w:p w:rsidR="00696E40" w:rsidRPr="00AF31B3" w:rsidRDefault="00696E40" w:rsidP="00696E40">
      <w:pPr>
        <w:spacing w:before="0" w:after="0"/>
        <w:rPr>
          <w:rFonts w:asciiTheme="minorHAnsi" w:hAnsiTheme="minorHAnsi"/>
          <w:sz w:val="22"/>
          <w:szCs w:val="22"/>
          <w:lang w:val="es-ES_tradnl" w:eastAsia="en-US"/>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sz w:val="22"/>
          <w:szCs w:val="22"/>
          <w:lang w:val="es-ES_tradnl" w:eastAsia="en-US"/>
        </w:rPr>
        <w:t xml:space="preserve">Aun cuando la Comisión Nacional de </w:t>
      </w:r>
      <w:proofErr w:type="spellStart"/>
      <w:r w:rsidRPr="00AF31B3">
        <w:rPr>
          <w:rFonts w:asciiTheme="minorHAnsi" w:hAnsiTheme="minorHAnsi"/>
          <w:sz w:val="22"/>
          <w:szCs w:val="22"/>
          <w:lang w:val="es-ES_tradnl" w:eastAsia="en-US"/>
        </w:rPr>
        <w:t>Microfinanzas</w:t>
      </w:r>
      <w:proofErr w:type="spellEnd"/>
      <w:r w:rsidRPr="00AF31B3">
        <w:rPr>
          <w:rFonts w:asciiTheme="minorHAnsi" w:hAnsiTheme="minorHAnsi"/>
          <w:sz w:val="22"/>
          <w:szCs w:val="22"/>
          <w:lang w:val="es-ES_tradnl" w:eastAsia="en-US"/>
        </w:rPr>
        <w:t xml:space="preserve"> (CONAMI) no ha emitido una norma que estipule los lineamientos para la gestión del riesgo operativo en las </w:t>
      </w:r>
      <w:r w:rsidR="005B4E69">
        <w:rPr>
          <w:rFonts w:asciiTheme="minorHAnsi" w:hAnsiTheme="minorHAnsi"/>
          <w:sz w:val="22"/>
          <w:szCs w:val="22"/>
          <w:lang w:val="es-ES_tradnl" w:eastAsia="en-US"/>
        </w:rPr>
        <w:t>I</w:t>
      </w:r>
      <w:r w:rsidRPr="00AF31B3">
        <w:rPr>
          <w:rFonts w:asciiTheme="minorHAnsi" w:hAnsiTheme="minorHAnsi"/>
          <w:sz w:val="22"/>
          <w:szCs w:val="22"/>
          <w:lang w:val="es-ES_tradnl" w:eastAsia="en-US"/>
        </w:rPr>
        <w:t xml:space="preserve">nstituciones de </w:t>
      </w:r>
      <w:proofErr w:type="spellStart"/>
      <w:r w:rsidR="005B4E69">
        <w:rPr>
          <w:rFonts w:asciiTheme="minorHAnsi" w:hAnsiTheme="minorHAnsi"/>
          <w:sz w:val="22"/>
          <w:szCs w:val="22"/>
          <w:lang w:val="es-ES_tradnl" w:eastAsia="en-US"/>
        </w:rPr>
        <w:t>M</w:t>
      </w:r>
      <w:bookmarkStart w:id="0" w:name="_GoBack"/>
      <w:bookmarkEnd w:id="0"/>
      <w:r w:rsidRPr="00AF31B3">
        <w:rPr>
          <w:rFonts w:asciiTheme="minorHAnsi" w:hAnsiTheme="minorHAnsi"/>
          <w:sz w:val="22"/>
          <w:szCs w:val="22"/>
          <w:lang w:val="es-ES_tradnl" w:eastAsia="en-US"/>
        </w:rPr>
        <w:t>icrofinanzas</w:t>
      </w:r>
      <w:proofErr w:type="spellEnd"/>
      <w:r w:rsidRPr="00AF31B3">
        <w:rPr>
          <w:rFonts w:asciiTheme="minorHAnsi" w:hAnsiTheme="minorHAnsi"/>
          <w:sz w:val="22"/>
          <w:szCs w:val="22"/>
          <w:lang w:val="es-ES_tradnl" w:eastAsia="en-US"/>
        </w:rPr>
        <w:t xml:space="preserve"> que regula, con excepción del riesgo tecnológico</w:t>
      </w:r>
      <w:r w:rsidRPr="00AF31B3">
        <w:rPr>
          <w:rStyle w:val="Refdenotaalpie"/>
          <w:rFonts w:asciiTheme="minorHAnsi" w:hAnsiTheme="minorHAnsi"/>
          <w:sz w:val="22"/>
          <w:szCs w:val="22"/>
          <w:lang w:val="es-ES_tradnl" w:eastAsia="en-US"/>
        </w:rPr>
        <w:footnoteReference w:id="1"/>
      </w:r>
      <w:r w:rsidRPr="00AF31B3">
        <w:rPr>
          <w:rFonts w:asciiTheme="minorHAnsi" w:hAnsiTheme="minorHAnsi"/>
          <w:sz w:val="22"/>
          <w:szCs w:val="22"/>
          <w:lang w:val="es-ES_tradnl" w:eastAsia="en-US"/>
        </w:rPr>
        <w:t>, es muy probable que la IMF a su cargo tenga aprobadas políticas en relación a la administración del riesgo operativo.</w:t>
      </w:r>
    </w:p>
    <w:p w:rsidR="00696E40" w:rsidRPr="00AF31B3" w:rsidRDefault="00696E40" w:rsidP="00696E40">
      <w:pPr>
        <w:spacing w:before="0" w:after="0"/>
        <w:rPr>
          <w:rFonts w:asciiTheme="minorHAnsi" w:hAnsiTheme="minorHAnsi"/>
          <w:sz w:val="22"/>
          <w:szCs w:val="22"/>
          <w:lang w:val="es-ES_tradnl" w:eastAsia="en-US"/>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sz w:val="22"/>
          <w:szCs w:val="22"/>
          <w:lang w:val="es-ES_tradnl" w:eastAsia="en-US"/>
        </w:rPr>
        <w:t>Por tal motivo, el  cuestionario tiene el propósito de conocer los enfoques que el sector de IMF está adoptando en este campo. Para una mejor compresión del cuestionario se adjunta un glosario de términos y una clasificación de eventos de riesgo operativo con sus respectivos ejemplos.</w:t>
      </w:r>
    </w:p>
    <w:p w:rsidR="00696E40" w:rsidRPr="00AF31B3" w:rsidRDefault="00696E40" w:rsidP="00696E40">
      <w:pPr>
        <w:spacing w:before="0" w:after="0"/>
        <w:rPr>
          <w:rFonts w:asciiTheme="minorHAnsi" w:hAnsiTheme="minorHAnsi"/>
          <w:sz w:val="22"/>
          <w:szCs w:val="22"/>
          <w:lang w:val="es-ES_tradnl" w:eastAsia="en-US"/>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sz w:val="22"/>
          <w:szCs w:val="22"/>
          <w:lang w:val="es-ES_tradnl" w:eastAsia="en-US"/>
        </w:rPr>
        <w:t>El diagnóstico resultante permitirá a la CONAMI preparar una norma sobre gestión de riesgo operativo adecuada a la realidad de las IMF y a las mejores prácticas de instituciones financieras con similar perfil de operaciones.</w:t>
      </w:r>
    </w:p>
    <w:p w:rsidR="00696E40" w:rsidRPr="00AF31B3" w:rsidRDefault="00696E40" w:rsidP="00F63892">
      <w:pPr>
        <w:pStyle w:val="Ttulo1"/>
      </w:pPr>
    </w:p>
    <w:p w:rsidR="00696E40" w:rsidRPr="00AF31B3" w:rsidRDefault="00696E40" w:rsidP="00F63892">
      <w:pPr>
        <w:pStyle w:val="Ttulo1"/>
      </w:pPr>
      <w:r w:rsidRPr="00AF31B3">
        <w:t>GLOSARIO</w:t>
      </w:r>
    </w:p>
    <w:p w:rsidR="00696E40" w:rsidRPr="00AF31B3" w:rsidRDefault="00696E40" w:rsidP="00696E40">
      <w:pPr>
        <w:spacing w:before="0" w:after="0"/>
        <w:rPr>
          <w:rFonts w:asciiTheme="minorHAnsi" w:hAnsiTheme="minorHAnsi"/>
          <w:b/>
          <w:sz w:val="22"/>
          <w:szCs w:val="22"/>
          <w:lang w:val="es-ES_tradnl" w:eastAsia="en-US"/>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b/>
          <w:sz w:val="22"/>
          <w:szCs w:val="22"/>
          <w:lang w:val="es-ES_tradnl" w:eastAsia="en-US"/>
        </w:rPr>
        <w:t>Riesgo operativo</w:t>
      </w:r>
      <w:r w:rsidRPr="00AF31B3">
        <w:rPr>
          <w:rFonts w:asciiTheme="minorHAnsi" w:hAnsiTheme="minorHAnsi"/>
          <w:sz w:val="22"/>
          <w:szCs w:val="22"/>
          <w:lang w:val="es-ES_tradnl" w:eastAsia="en-US"/>
        </w:rPr>
        <w:t>: “</w:t>
      </w:r>
      <w:r w:rsidRPr="00AF31B3">
        <w:rPr>
          <w:rFonts w:asciiTheme="minorHAnsi" w:hAnsiTheme="minorHAnsi"/>
          <w:i/>
          <w:sz w:val="22"/>
          <w:szCs w:val="22"/>
          <w:lang w:val="es-ES_tradnl" w:eastAsia="en-US"/>
        </w:rPr>
        <w:t xml:space="preserve">Es el riesgo de sufrir pérdidas debido a la inadecuación o a fallos en los procesos, personal y sistemas internos o bien por causa de eventos externos. Incluye el riesgo legal pero excluye a los riesgos </w:t>
      </w:r>
      <w:proofErr w:type="spellStart"/>
      <w:r w:rsidRPr="00AF31B3">
        <w:rPr>
          <w:rFonts w:asciiTheme="minorHAnsi" w:hAnsiTheme="minorHAnsi"/>
          <w:i/>
          <w:sz w:val="22"/>
          <w:szCs w:val="22"/>
          <w:lang w:val="es-ES_tradnl" w:eastAsia="en-US"/>
        </w:rPr>
        <w:t>reputacional</w:t>
      </w:r>
      <w:proofErr w:type="spellEnd"/>
      <w:r w:rsidRPr="00AF31B3">
        <w:rPr>
          <w:rFonts w:asciiTheme="minorHAnsi" w:hAnsiTheme="minorHAnsi"/>
          <w:i/>
          <w:sz w:val="22"/>
          <w:szCs w:val="22"/>
          <w:lang w:val="es-ES_tradnl" w:eastAsia="en-US"/>
        </w:rPr>
        <w:t>, estratégico y sistémico</w:t>
      </w:r>
      <w:r w:rsidRPr="00AF31B3">
        <w:rPr>
          <w:rFonts w:asciiTheme="minorHAnsi" w:hAnsiTheme="minorHAnsi"/>
          <w:sz w:val="22"/>
          <w:szCs w:val="22"/>
          <w:lang w:val="es-ES_tradnl" w:eastAsia="en-US"/>
        </w:rPr>
        <w:t>.”</w:t>
      </w:r>
      <w:r w:rsidRPr="00AF31B3">
        <w:rPr>
          <w:rStyle w:val="Refdenotaalpie"/>
          <w:rFonts w:asciiTheme="minorHAnsi" w:hAnsiTheme="minorHAnsi"/>
          <w:sz w:val="22"/>
          <w:szCs w:val="22"/>
          <w:lang w:val="es-ES_tradnl" w:eastAsia="en-US"/>
        </w:rPr>
        <w:footnoteReference w:id="2"/>
      </w:r>
    </w:p>
    <w:p w:rsidR="00696E40" w:rsidRPr="00AF31B3" w:rsidRDefault="00696E40" w:rsidP="00696E40">
      <w:pPr>
        <w:spacing w:before="0" w:after="0"/>
        <w:rPr>
          <w:rFonts w:asciiTheme="minorHAnsi" w:hAnsiTheme="minorHAnsi"/>
          <w:b/>
          <w:sz w:val="22"/>
          <w:szCs w:val="22"/>
        </w:rPr>
      </w:pPr>
    </w:p>
    <w:p w:rsidR="00696E40" w:rsidRPr="00AF31B3" w:rsidRDefault="00696E40" w:rsidP="00696E40">
      <w:pPr>
        <w:spacing w:before="0" w:after="0"/>
        <w:rPr>
          <w:rFonts w:asciiTheme="minorHAnsi" w:hAnsiTheme="minorHAnsi"/>
          <w:sz w:val="22"/>
          <w:szCs w:val="22"/>
        </w:rPr>
      </w:pPr>
      <w:r w:rsidRPr="00AF31B3">
        <w:rPr>
          <w:rFonts w:asciiTheme="minorHAnsi" w:hAnsiTheme="minorHAnsi"/>
          <w:b/>
          <w:sz w:val="22"/>
          <w:szCs w:val="22"/>
        </w:rPr>
        <w:t>Gestión de riesgo</w:t>
      </w:r>
      <w:r w:rsidRPr="00AF31B3">
        <w:rPr>
          <w:rFonts w:asciiTheme="minorHAnsi" w:hAnsiTheme="minorHAnsi"/>
          <w:b/>
          <w:sz w:val="22"/>
          <w:szCs w:val="22"/>
          <w:lang w:val="es-ES_tradnl" w:eastAsia="en-US"/>
        </w:rPr>
        <w:t xml:space="preserve"> operativo</w:t>
      </w:r>
      <w:r w:rsidRPr="00AF31B3">
        <w:rPr>
          <w:rFonts w:asciiTheme="minorHAnsi" w:hAnsiTheme="minorHAnsi"/>
          <w:sz w:val="22"/>
          <w:szCs w:val="22"/>
        </w:rPr>
        <w:t>: Proceso de identificación, análisis y cuantificación de la probabilidad de pérdidas y efectos secundarios que se desprenden de eventos de riesgo operativo, así como de las acciones preventivas, correctivas y mitigadoras correspondientes.</w:t>
      </w:r>
    </w:p>
    <w:p w:rsidR="00696E40" w:rsidRPr="00AF31B3" w:rsidRDefault="00696E40" w:rsidP="00696E40">
      <w:pPr>
        <w:spacing w:before="0" w:after="0"/>
        <w:rPr>
          <w:rFonts w:asciiTheme="minorHAnsi" w:hAnsiTheme="minorHAnsi"/>
          <w:b/>
          <w:sz w:val="22"/>
          <w:szCs w:val="22"/>
        </w:rPr>
      </w:pPr>
    </w:p>
    <w:p w:rsidR="00696E40" w:rsidRPr="00AF31B3" w:rsidRDefault="00696E40" w:rsidP="00696E40">
      <w:pPr>
        <w:spacing w:before="0" w:after="0"/>
        <w:rPr>
          <w:rFonts w:asciiTheme="minorHAnsi" w:hAnsiTheme="minorHAnsi"/>
          <w:sz w:val="22"/>
          <w:szCs w:val="22"/>
        </w:rPr>
      </w:pPr>
      <w:r w:rsidRPr="00AF31B3">
        <w:rPr>
          <w:rFonts w:asciiTheme="minorHAnsi" w:hAnsiTheme="minorHAnsi"/>
          <w:b/>
          <w:sz w:val="22"/>
          <w:szCs w:val="22"/>
        </w:rPr>
        <w:t>Evento</w:t>
      </w:r>
      <w:r w:rsidRPr="00AF31B3">
        <w:rPr>
          <w:rFonts w:asciiTheme="minorHAnsi" w:hAnsiTheme="minorHAnsi"/>
          <w:sz w:val="22"/>
          <w:szCs w:val="22"/>
        </w:rPr>
        <w:t>: Suceso o serie de sucesos, internos o externos a la IMF, originados por la misma causa, que ocurren todos durante un mismo período de tiempo.</w:t>
      </w:r>
    </w:p>
    <w:p w:rsidR="00696E40" w:rsidRPr="00AF31B3" w:rsidRDefault="00696E40" w:rsidP="00696E40">
      <w:pPr>
        <w:spacing w:before="0" w:after="0"/>
        <w:rPr>
          <w:rFonts w:asciiTheme="minorHAnsi" w:hAnsiTheme="minorHAnsi"/>
          <w:b/>
          <w:sz w:val="22"/>
          <w:szCs w:val="22"/>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b/>
          <w:sz w:val="22"/>
          <w:szCs w:val="22"/>
        </w:rPr>
        <w:t>Cuasi evento</w:t>
      </w:r>
      <w:r w:rsidRPr="00AF31B3">
        <w:rPr>
          <w:rFonts w:asciiTheme="minorHAnsi" w:hAnsiTheme="minorHAnsi"/>
          <w:sz w:val="22"/>
          <w:szCs w:val="22"/>
        </w:rPr>
        <w:t xml:space="preserve">: </w:t>
      </w:r>
      <w:r w:rsidRPr="00AF31B3">
        <w:rPr>
          <w:rFonts w:asciiTheme="minorHAnsi" w:hAnsiTheme="minorHAnsi"/>
          <w:sz w:val="22"/>
          <w:szCs w:val="22"/>
          <w:lang w:val="es-ES_tradnl" w:eastAsia="en-US"/>
        </w:rPr>
        <w:t>Evento de riesgo operativo que no resulta en pérdidas monetarias.</w:t>
      </w:r>
    </w:p>
    <w:p w:rsidR="00696E40" w:rsidRPr="00AF31B3" w:rsidRDefault="00696E40" w:rsidP="00696E40">
      <w:pPr>
        <w:spacing w:before="0" w:after="0"/>
        <w:jc w:val="left"/>
        <w:rPr>
          <w:rFonts w:asciiTheme="minorHAnsi" w:hAnsiTheme="minorHAnsi"/>
          <w:sz w:val="22"/>
          <w:szCs w:val="22"/>
          <w:lang w:val="es-ES_tradnl" w:eastAsia="en-US"/>
        </w:rPr>
      </w:pPr>
    </w:p>
    <w:p w:rsidR="00696E40" w:rsidRPr="00F63892" w:rsidRDefault="00696E40" w:rsidP="00696E40">
      <w:pPr>
        <w:spacing w:before="0" w:after="0"/>
        <w:jc w:val="left"/>
        <w:rPr>
          <w:rFonts w:asciiTheme="minorHAnsi" w:hAnsiTheme="minorHAnsi"/>
          <w:b/>
          <w:sz w:val="22"/>
          <w:szCs w:val="22"/>
          <w:lang w:val="es-ES_tradnl" w:eastAsia="en-US"/>
        </w:rPr>
      </w:pPr>
      <w:r w:rsidRPr="00F63892">
        <w:rPr>
          <w:rFonts w:asciiTheme="minorHAnsi" w:hAnsiTheme="minorHAnsi"/>
          <w:b/>
          <w:sz w:val="22"/>
          <w:szCs w:val="22"/>
          <w:lang w:val="es-ES_tradnl" w:eastAsia="en-US"/>
        </w:rPr>
        <w:t>CATEGORÍAS DE RIESGO OPERATIVO</w:t>
      </w:r>
      <w:r w:rsidRPr="00F63892">
        <w:rPr>
          <w:rFonts w:asciiTheme="minorHAnsi" w:hAnsiTheme="minorHAnsi"/>
          <w:b/>
          <w:sz w:val="22"/>
          <w:szCs w:val="22"/>
          <w:lang w:val="es-ES_tradnl" w:eastAsia="en-US"/>
        </w:rPr>
        <w:br/>
      </w:r>
    </w:p>
    <w:p w:rsidR="00696E40" w:rsidRPr="00AF31B3" w:rsidRDefault="00696E40" w:rsidP="00696E40">
      <w:pPr>
        <w:spacing w:before="0" w:after="0"/>
        <w:jc w:val="left"/>
        <w:rPr>
          <w:rFonts w:asciiTheme="minorHAnsi" w:hAnsiTheme="minorHAnsi"/>
          <w:sz w:val="22"/>
          <w:szCs w:val="22"/>
          <w:lang w:val="es-ES_tradnl" w:eastAsia="en-US"/>
        </w:rPr>
      </w:pPr>
      <w:r w:rsidRPr="00AF31B3">
        <w:rPr>
          <w:rFonts w:asciiTheme="minorHAnsi" w:hAnsiTheme="minorHAnsi"/>
          <w:sz w:val="22"/>
          <w:szCs w:val="22"/>
          <w:lang w:val="es-ES_tradnl" w:eastAsia="en-US"/>
        </w:rPr>
        <w:t>A continuación se presenta un esquema de eventos de riesgo operativo (excluyendo riesgo tecnológico)</w:t>
      </w:r>
      <w:r w:rsidRPr="00AF31B3">
        <w:rPr>
          <w:rStyle w:val="Refdenotaalpie"/>
          <w:rFonts w:asciiTheme="minorHAnsi" w:hAnsiTheme="minorHAnsi"/>
          <w:sz w:val="22"/>
          <w:szCs w:val="22"/>
          <w:lang w:val="es-ES_tradnl" w:eastAsia="en-US"/>
        </w:rPr>
        <w:footnoteReference w:id="3"/>
      </w:r>
      <w:r w:rsidRPr="00AF31B3">
        <w:rPr>
          <w:rFonts w:asciiTheme="minorHAnsi" w:hAnsiTheme="minorHAnsi"/>
          <w:sz w:val="22"/>
          <w:szCs w:val="22"/>
          <w:lang w:val="es-ES_tradnl" w:eastAsia="en-US"/>
        </w:rPr>
        <w:t>:</w:t>
      </w:r>
    </w:p>
    <w:p w:rsidR="00696E40" w:rsidRPr="00AF31B3" w:rsidRDefault="00696E40" w:rsidP="00696E40">
      <w:pPr>
        <w:spacing w:before="0" w:after="0"/>
        <w:jc w:val="left"/>
        <w:rPr>
          <w:rFonts w:asciiTheme="minorHAnsi" w:hAnsiTheme="minorHAnsi"/>
          <w:sz w:val="22"/>
          <w:szCs w:val="22"/>
          <w:lang w:val="es-ES_tradnl" w:eastAsia="en-US"/>
        </w:rPr>
      </w:pPr>
    </w:p>
    <w:p w:rsidR="00696E40" w:rsidRPr="00AF31B3" w:rsidRDefault="00696E40" w:rsidP="00696E40">
      <w:pPr>
        <w:spacing w:before="0" w:after="0"/>
        <w:jc w:val="left"/>
        <w:rPr>
          <w:rFonts w:asciiTheme="minorHAnsi" w:hAnsiTheme="minorHAnsi"/>
          <w:sz w:val="22"/>
          <w:szCs w:val="22"/>
          <w:lang w:val="es-ES_tradnl" w:eastAsia="en-US"/>
        </w:rPr>
      </w:pPr>
    </w:p>
    <w:p w:rsidR="00696E40" w:rsidRPr="00AF31B3" w:rsidRDefault="00696E40" w:rsidP="00696E40">
      <w:pPr>
        <w:spacing w:before="0" w:after="0"/>
        <w:jc w:val="left"/>
        <w:rPr>
          <w:rFonts w:asciiTheme="minorHAnsi" w:hAnsiTheme="minorHAnsi"/>
          <w:sz w:val="22"/>
          <w:szCs w:val="22"/>
          <w:lang w:val="es-ES_tradnl" w:eastAsia="en-US"/>
        </w:rPr>
      </w:pPr>
    </w:p>
    <w:p w:rsidR="00696E40" w:rsidRPr="00AF31B3" w:rsidRDefault="00696E40" w:rsidP="00696E40">
      <w:pPr>
        <w:spacing w:before="0" w:after="0"/>
        <w:jc w:val="left"/>
        <w:rPr>
          <w:rFonts w:asciiTheme="minorHAnsi" w:hAnsiTheme="minorHAnsi"/>
          <w:sz w:val="22"/>
          <w:szCs w:val="22"/>
          <w:lang w:val="es-ES_tradnl" w:eastAsia="en-US"/>
        </w:rPr>
      </w:pPr>
    </w:p>
    <w:tbl>
      <w:tblPr>
        <w:tblStyle w:val="Tablaconcuadrcula"/>
        <w:tblW w:w="0" w:type="auto"/>
        <w:tblLook w:val="04A0" w:firstRow="1" w:lastRow="0" w:firstColumn="1" w:lastColumn="0" w:noHBand="0" w:noVBand="1"/>
      </w:tblPr>
      <w:tblGrid>
        <w:gridCol w:w="1594"/>
        <w:gridCol w:w="2732"/>
        <w:gridCol w:w="1949"/>
        <w:gridCol w:w="2015"/>
      </w:tblGrid>
      <w:tr w:rsidR="00696E40" w:rsidRPr="00F729EF" w:rsidTr="00A35FB0">
        <w:trPr>
          <w:cantSplit/>
          <w:tblHeader/>
        </w:trPr>
        <w:tc>
          <w:tcPr>
            <w:tcW w:w="0" w:type="auto"/>
            <w:vAlign w:val="center"/>
          </w:tcPr>
          <w:p w:rsidR="00696E40" w:rsidRPr="00F729EF" w:rsidRDefault="00696E40" w:rsidP="00A35FB0">
            <w:pPr>
              <w:spacing w:before="0" w:after="0"/>
              <w:jc w:val="center"/>
              <w:rPr>
                <w:b/>
                <w:sz w:val="20"/>
                <w:szCs w:val="20"/>
              </w:rPr>
            </w:pPr>
            <w:r w:rsidRPr="00F729EF">
              <w:rPr>
                <w:b/>
                <w:sz w:val="20"/>
                <w:szCs w:val="20"/>
              </w:rPr>
              <w:lastRenderedPageBreak/>
              <w:t>CATEGORÍA</w:t>
            </w:r>
          </w:p>
        </w:tc>
        <w:tc>
          <w:tcPr>
            <w:tcW w:w="0" w:type="auto"/>
            <w:vAlign w:val="center"/>
          </w:tcPr>
          <w:p w:rsidR="00696E40" w:rsidRPr="00F729EF" w:rsidRDefault="00696E40" w:rsidP="00A35FB0">
            <w:pPr>
              <w:spacing w:before="0" w:after="0"/>
              <w:jc w:val="center"/>
              <w:rPr>
                <w:b/>
                <w:sz w:val="20"/>
                <w:szCs w:val="20"/>
              </w:rPr>
            </w:pPr>
            <w:r w:rsidRPr="00F729EF">
              <w:rPr>
                <w:b/>
                <w:sz w:val="20"/>
                <w:szCs w:val="20"/>
              </w:rPr>
              <w:t>DEFINICIÓN</w:t>
            </w:r>
          </w:p>
        </w:tc>
        <w:tc>
          <w:tcPr>
            <w:tcW w:w="0" w:type="auto"/>
            <w:vAlign w:val="center"/>
          </w:tcPr>
          <w:p w:rsidR="00696E40" w:rsidRPr="00F729EF" w:rsidRDefault="00696E40" w:rsidP="00A35FB0">
            <w:pPr>
              <w:spacing w:before="0" w:after="0"/>
              <w:jc w:val="center"/>
              <w:rPr>
                <w:b/>
                <w:sz w:val="20"/>
                <w:szCs w:val="20"/>
              </w:rPr>
            </w:pPr>
            <w:r w:rsidRPr="00F729EF">
              <w:rPr>
                <w:b/>
                <w:sz w:val="20"/>
                <w:szCs w:val="20"/>
              </w:rPr>
              <w:t>SUBCATEGORIA</w:t>
            </w:r>
          </w:p>
        </w:tc>
        <w:tc>
          <w:tcPr>
            <w:tcW w:w="0" w:type="auto"/>
            <w:vAlign w:val="center"/>
          </w:tcPr>
          <w:p w:rsidR="00696E40" w:rsidRPr="00F729EF" w:rsidRDefault="00696E40" w:rsidP="00A35FB0">
            <w:pPr>
              <w:spacing w:before="0" w:after="0"/>
              <w:jc w:val="center"/>
              <w:rPr>
                <w:b/>
                <w:sz w:val="20"/>
                <w:szCs w:val="20"/>
              </w:rPr>
            </w:pPr>
            <w:r w:rsidRPr="00F729EF">
              <w:rPr>
                <w:b/>
                <w:sz w:val="20"/>
                <w:szCs w:val="20"/>
              </w:rPr>
              <w:t>EJEMPLOS</w:t>
            </w:r>
          </w:p>
        </w:tc>
      </w:tr>
      <w:tr w:rsidR="00696E40" w:rsidRPr="00F729EF" w:rsidTr="00A35FB0">
        <w:trPr>
          <w:cantSplit/>
        </w:trPr>
        <w:tc>
          <w:tcPr>
            <w:tcW w:w="0" w:type="auto"/>
            <w:vMerge w:val="restart"/>
            <w:vAlign w:val="center"/>
          </w:tcPr>
          <w:p w:rsidR="00696E40" w:rsidRPr="00F729EF" w:rsidRDefault="00696E40" w:rsidP="00A35FB0">
            <w:pPr>
              <w:spacing w:before="0" w:after="0"/>
              <w:jc w:val="left"/>
              <w:rPr>
                <w:sz w:val="20"/>
                <w:szCs w:val="20"/>
              </w:rPr>
            </w:pPr>
            <w:r w:rsidRPr="00F729EF">
              <w:rPr>
                <w:sz w:val="20"/>
                <w:szCs w:val="20"/>
                <w:lang w:val="es-ES_tradnl"/>
              </w:rPr>
              <w:t>Fraude interno</w:t>
            </w:r>
          </w:p>
        </w:tc>
        <w:tc>
          <w:tcPr>
            <w:tcW w:w="0" w:type="auto"/>
            <w:vMerge w:val="restart"/>
            <w:vAlign w:val="center"/>
          </w:tcPr>
          <w:p w:rsidR="00696E40" w:rsidRPr="00F729EF" w:rsidRDefault="00696E40" w:rsidP="00A35FB0">
            <w:pPr>
              <w:spacing w:before="0" w:after="0"/>
              <w:jc w:val="left"/>
              <w:rPr>
                <w:sz w:val="20"/>
                <w:szCs w:val="20"/>
              </w:rPr>
            </w:pPr>
            <w:r w:rsidRPr="00F729EF">
              <w:rPr>
                <w:sz w:val="20"/>
                <w:szCs w:val="20"/>
                <w:lang w:val="es-ES_tradnl"/>
              </w:rPr>
              <w:t>Pérdidas derivadas de algún tipo de actuación encaminada a defraudar, apropiarse de bienes indebidamente o soslayar regulaciones, leyes o políticas empresariales (excluidos los eventos de diversidad / discriminación) en las que se encuentra implicada, al menos, una parte interna a la empresa</w:t>
            </w:r>
          </w:p>
        </w:tc>
        <w:tc>
          <w:tcPr>
            <w:tcW w:w="0" w:type="auto"/>
            <w:vAlign w:val="center"/>
          </w:tcPr>
          <w:p w:rsidR="00696E40" w:rsidRPr="00F729EF" w:rsidRDefault="00696E40" w:rsidP="00A35FB0">
            <w:pPr>
              <w:spacing w:before="0" w:after="0"/>
              <w:jc w:val="left"/>
              <w:rPr>
                <w:sz w:val="20"/>
                <w:szCs w:val="20"/>
              </w:rPr>
            </w:pPr>
            <w:r w:rsidRPr="00F729EF">
              <w:rPr>
                <w:sz w:val="20"/>
                <w:szCs w:val="20"/>
                <w:lang w:val="es-ES_tradnl"/>
              </w:rPr>
              <w:t>Actividades no autorizadas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Operaciones</w:t>
            </w:r>
            <w:r>
              <w:rPr>
                <w:sz w:val="20"/>
                <w:szCs w:val="20"/>
                <w:lang w:val="es-ES_tradnl"/>
              </w:rPr>
              <w:t xml:space="preserve"> no reveladas intencionalmente</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Operaciones no autoriz</w:t>
            </w:r>
            <w:r>
              <w:rPr>
                <w:sz w:val="20"/>
                <w:szCs w:val="20"/>
                <w:lang w:val="es-ES_tradnl"/>
              </w:rPr>
              <w:t>adas con pérdidas monetarias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Valoración errónea intencional de posiciones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Hurto y fraude</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Fraude</w:t>
            </w:r>
          </w:p>
          <w:p w:rsidR="00696E40" w:rsidRDefault="00696E40" w:rsidP="00A35FB0">
            <w:pPr>
              <w:spacing w:before="0" w:after="0"/>
              <w:ind w:left="144" w:hanging="144"/>
              <w:jc w:val="left"/>
              <w:rPr>
                <w:sz w:val="20"/>
                <w:szCs w:val="20"/>
                <w:lang w:val="es-ES_tradnl"/>
              </w:rPr>
            </w:pPr>
            <w:r>
              <w:rPr>
                <w:sz w:val="20"/>
                <w:szCs w:val="20"/>
                <w:lang w:val="es-ES_tradnl"/>
              </w:rPr>
              <w:t>- Depósitos sin valor</w:t>
            </w:r>
          </w:p>
          <w:p w:rsidR="00696E40" w:rsidRDefault="00696E40" w:rsidP="00A35FB0">
            <w:pPr>
              <w:spacing w:before="0" w:after="0"/>
              <w:ind w:left="144" w:hanging="144"/>
              <w:jc w:val="left"/>
              <w:rPr>
                <w:sz w:val="20"/>
                <w:szCs w:val="20"/>
                <w:lang w:val="es-ES_tradnl"/>
              </w:rPr>
            </w:pPr>
            <w:r>
              <w:rPr>
                <w:sz w:val="20"/>
                <w:szCs w:val="20"/>
                <w:lang w:val="es-ES_tradnl"/>
              </w:rPr>
              <w:t xml:space="preserve">- Hurto, extorsión, malversación o </w:t>
            </w:r>
            <w:r w:rsidRPr="006960A3">
              <w:rPr>
                <w:sz w:val="20"/>
                <w:szCs w:val="20"/>
                <w:lang w:val="es-ES_tradnl"/>
              </w:rPr>
              <w:t xml:space="preserve"> robo</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Apropi</w:t>
            </w:r>
            <w:r>
              <w:rPr>
                <w:sz w:val="20"/>
                <w:szCs w:val="20"/>
                <w:lang w:val="es-ES_tradnl"/>
              </w:rPr>
              <w:t>ación indebida de activos</w:t>
            </w:r>
          </w:p>
          <w:p w:rsidR="00696E40" w:rsidRDefault="00696E40" w:rsidP="00A35FB0">
            <w:pPr>
              <w:spacing w:before="0" w:after="0"/>
              <w:ind w:left="144" w:hanging="144"/>
              <w:jc w:val="left"/>
              <w:rPr>
                <w:sz w:val="20"/>
                <w:szCs w:val="20"/>
                <w:lang w:val="es-ES_tradnl"/>
              </w:rPr>
            </w:pPr>
            <w:r>
              <w:rPr>
                <w:sz w:val="20"/>
                <w:szCs w:val="20"/>
                <w:lang w:val="es-ES_tradnl"/>
              </w:rPr>
              <w:t>- Destrucción dolosa de activos</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Falsificación</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Utilización de cheques sin fondos</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Contrabando</w:t>
            </w:r>
          </w:p>
          <w:p w:rsidR="00696E40" w:rsidRDefault="00696E40" w:rsidP="00A35FB0">
            <w:pPr>
              <w:spacing w:before="0" w:after="0"/>
              <w:ind w:left="144" w:hanging="144"/>
              <w:jc w:val="left"/>
              <w:rPr>
                <w:sz w:val="20"/>
                <w:szCs w:val="20"/>
                <w:lang w:val="es-ES_tradnl"/>
              </w:rPr>
            </w:pPr>
            <w:r>
              <w:rPr>
                <w:sz w:val="20"/>
                <w:szCs w:val="20"/>
                <w:lang w:val="es-ES_tradnl"/>
              </w:rPr>
              <w:t>- Apropiación de cuentas o de identidad</w:t>
            </w:r>
          </w:p>
          <w:p w:rsidR="00696E40" w:rsidRDefault="00696E40" w:rsidP="00A35FB0">
            <w:pPr>
              <w:spacing w:before="0" w:after="0"/>
              <w:ind w:left="144" w:hanging="144"/>
              <w:jc w:val="left"/>
              <w:rPr>
                <w:sz w:val="20"/>
                <w:szCs w:val="20"/>
                <w:lang w:val="es-ES_tradnl"/>
              </w:rPr>
            </w:pPr>
            <w:r>
              <w:rPr>
                <w:sz w:val="20"/>
                <w:szCs w:val="20"/>
                <w:lang w:val="es-ES_tradnl"/>
              </w:rPr>
              <w:t>- Incumplimiento o</w:t>
            </w:r>
            <w:r w:rsidRPr="006960A3">
              <w:rPr>
                <w:sz w:val="20"/>
                <w:szCs w:val="20"/>
                <w:lang w:val="es-ES_tradnl"/>
              </w:rPr>
              <w:t xml:space="preserve"> e</w:t>
            </w:r>
            <w:r>
              <w:rPr>
                <w:sz w:val="20"/>
                <w:szCs w:val="20"/>
                <w:lang w:val="es-ES_tradnl"/>
              </w:rPr>
              <w:t>vasión intencional de impuestos</w:t>
            </w:r>
          </w:p>
          <w:p w:rsidR="00696E40" w:rsidRDefault="00696E40" w:rsidP="00A35FB0">
            <w:pPr>
              <w:spacing w:before="0" w:after="0"/>
              <w:ind w:left="144" w:hanging="144"/>
              <w:jc w:val="left"/>
              <w:rPr>
                <w:sz w:val="20"/>
                <w:szCs w:val="20"/>
                <w:lang w:val="es-ES_tradnl"/>
              </w:rPr>
            </w:pPr>
            <w:r>
              <w:rPr>
                <w:sz w:val="20"/>
                <w:szCs w:val="20"/>
                <w:lang w:val="es-ES_tradnl"/>
              </w:rPr>
              <w:t>- Soborno o</w:t>
            </w:r>
            <w:r w:rsidRPr="006960A3">
              <w:rPr>
                <w:sz w:val="20"/>
                <w:szCs w:val="20"/>
                <w:lang w:val="es-ES_tradnl"/>
              </w:rPr>
              <w:t xml:space="preserve"> cohecho</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Abuso de información privilegiada</w:t>
            </w:r>
          </w:p>
        </w:tc>
      </w:tr>
      <w:tr w:rsidR="00696E40" w:rsidRPr="00F729EF" w:rsidTr="00A35FB0">
        <w:trPr>
          <w:cantSplit/>
        </w:trPr>
        <w:tc>
          <w:tcPr>
            <w:tcW w:w="0" w:type="auto"/>
            <w:vMerge w:val="restart"/>
            <w:vAlign w:val="center"/>
          </w:tcPr>
          <w:p w:rsidR="00696E40" w:rsidRPr="00F729EF" w:rsidRDefault="00696E40" w:rsidP="00A35FB0">
            <w:pPr>
              <w:spacing w:before="0" w:after="0"/>
              <w:jc w:val="left"/>
              <w:rPr>
                <w:sz w:val="20"/>
                <w:szCs w:val="20"/>
              </w:rPr>
            </w:pPr>
            <w:r w:rsidRPr="006960A3">
              <w:rPr>
                <w:sz w:val="20"/>
                <w:szCs w:val="20"/>
                <w:lang w:val="es-ES_tradnl"/>
              </w:rPr>
              <w:t>Fraude externo</w:t>
            </w:r>
          </w:p>
        </w:tc>
        <w:tc>
          <w:tcPr>
            <w:tcW w:w="0" w:type="auto"/>
            <w:vMerge w:val="restart"/>
            <w:vAlign w:val="center"/>
          </w:tcPr>
          <w:p w:rsidR="00696E40" w:rsidRPr="00F729EF" w:rsidRDefault="00696E40" w:rsidP="00A35FB0">
            <w:pPr>
              <w:spacing w:before="0" w:after="0"/>
              <w:rPr>
                <w:sz w:val="20"/>
                <w:szCs w:val="20"/>
              </w:rPr>
            </w:pPr>
            <w:r w:rsidRPr="006960A3">
              <w:rPr>
                <w:sz w:val="20"/>
                <w:szCs w:val="20"/>
                <w:lang w:val="es-ES_tradnl"/>
              </w:rPr>
              <w:t xml:space="preserve">Pérdidas derivadas de algún tipo de actuación encaminada a defraudar, apropiarse de bienes indebidamente o soslayar la legislación, por parte </w:t>
            </w:r>
            <w:r>
              <w:rPr>
                <w:sz w:val="20"/>
                <w:szCs w:val="20"/>
                <w:lang w:val="es-ES_tradnl"/>
              </w:rPr>
              <w:t xml:space="preserve">de </w:t>
            </w:r>
            <w:r w:rsidRPr="006960A3">
              <w:rPr>
                <w:sz w:val="20"/>
                <w:szCs w:val="20"/>
                <w:lang w:val="es-ES_tradnl"/>
              </w:rPr>
              <w:t>un tercero</w:t>
            </w:r>
          </w:p>
        </w:tc>
        <w:tc>
          <w:tcPr>
            <w:tcW w:w="0" w:type="auto"/>
            <w:vAlign w:val="center"/>
          </w:tcPr>
          <w:p w:rsidR="00696E40" w:rsidRPr="00377E4D" w:rsidRDefault="00696E40" w:rsidP="00A35FB0">
            <w:pPr>
              <w:pStyle w:val="Style"/>
              <w:rPr>
                <w:rFonts w:ascii="Garamond" w:hAnsi="Garamond" w:cs="Times New Roman"/>
                <w:sz w:val="20"/>
                <w:szCs w:val="20"/>
                <w:lang w:val="es-ES_tradnl"/>
              </w:rPr>
            </w:pPr>
            <w:r>
              <w:rPr>
                <w:rFonts w:ascii="Garamond" w:hAnsi="Garamond" w:cs="Times New Roman"/>
                <w:sz w:val="20"/>
                <w:szCs w:val="20"/>
                <w:lang w:val="es-ES_tradnl"/>
              </w:rPr>
              <w:t>Hurto y fraude</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Hurto o</w:t>
            </w:r>
            <w:r w:rsidRPr="006960A3">
              <w:rPr>
                <w:sz w:val="20"/>
                <w:szCs w:val="20"/>
                <w:lang w:val="es-ES_tradnl"/>
              </w:rPr>
              <w:t xml:space="preserve"> robo</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Falsificación</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Utilización de cheques sin fondos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377E4D" w:rsidRDefault="00696E40" w:rsidP="00A35FB0">
            <w:pPr>
              <w:pStyle w:val="Style"/>
              <w:rPr>
                <w:rFonts w:ascii="Garamond" w:hAnsi="Garamond" w:cs="Times New Roman"/>
                <w:sz w:val="20"/>
                <w:szCs w:val="20"/>
                <w:lang w:val="es-ES_tradnl"/>
              </w:rPr>
            </w:pPr>
            <w:r w:rsidRPr="006960A3">
              <w:rPr>
                <w:rFonts w:ascii="Garamond" w:hAnsi="Garamond" w:cs="Times New Roman"/>
                <w:sz w:val="20"/>
                <w:szCs w:val="20"/>
                <w:lang w:val="es-ES_tradnl"/>
              </w:rPr>
              <w:t>Seguridad de los sistemas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Da</w:t>
            </w:r>
            <w:r>
              <w:rPr>
                <w:sz w:val="20"/>
                <w:szCs w:val="20"/>
                <w:lang w:val="es-ES_tradnl"/>
              </w:rPr>
              <w:t>ños por ataques informáticos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Robo de información con pérdidas monetarias</w:t>
            </w:r>
          </w:p>
        </w:tc>
      </w:tr>
      <w:tr w:rsidR="00696E40" w:rsidRPr="00F729EF" w:rsidTr="00A35FB0">
        <w:trPr>
          <w:cantSplit/>
        </w:trPr>
        <w:tc>
          <w:tcPr>
            <w:tcW w:w="0" w:type="auto"/>
            <w:vMerge w:val="restart"/>
            <w:vAlign w:val="center"/>
          </w:tcPr>
          <w:p w:rsidR="00696E40" w:rsidRPr="00F729EF" w:rsidRDefault="00696E40" w:rsidP="00A35FB0">
            <w:pPr>
              <w:spacing w:before="0" w:after="0"/>
              <w:jc w:val="left"/>
              <w:rPr>
                <w:sz w:val="20"/>
                <w:szCs w:val="20"/>
              </w:rPr>
            </w:pPr>
            <w:r w:rsidRPr="006960A3">
              <w:rPr>
                <w:sz w:val="20"/>
                <w:szCs w:val="20"/>
                <w:lang w:val="es-ES_tradnl"/>
              </w:rPr>
              <w:t>Relaciones laborales y seguridad en el puesto de trabajo</w:t>
            </w:r>
          </w:p>
        </w:tc>
        <w:tc>
          <w:tcPr>
            <w:tcW w:w="0" w:type="auto"/>
            <w:vMerge w:val="restart"/>
            <w:vAlign w:val="center"/>
          </w:tcPr>
          <w:p w:rsidR="00696E40" w:rsidRPr="00F729EF" w:rsidRDefault="00696E40" w:rsidP="00A35FB0">
            <w:pPr>
              <w:spacing w:before="0" w:after="0"/>
              <w:rPr>
                <w:sz w:val="20"/>
                <w:szCs w:val="20"/>
              </w:rPr>
            </w:pPr>
            <w:r w:rsidRPr="006960A3">
              <w:rPr>
                <w:sz w:val="20"/>
                <w:szCs w:val="20"/>
                <w:lang w:val="es-ES_tradnl"/>
              </w:rPr>
              <w:t>Pérdidas derivadas de actuaciones incompatibles con la legislación o acuerdos laborales, sobre higiene o seguridad en el trabajo, sobre el pago de reclamaciones por daños personales, o sobre casos relacionados con la discriminación</w:t>
            </w: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Relaciones laborales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Cuestiones relativas a remuneración, prestaciones sociales, extinción de contratos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Organización laboral</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Higiene y seguridad en el trabajo</w:t>
            </w:r>
          </w:p>
        </w:tc>
        <w:tc>
          <w:tcPr>
            <w:tcW w:w="0" w:type="auto"/>
            <w:vAlign w:val="center"/>
          </w:tcPr>
          <w:p w:rsidR="00696E40" w:rsidRDefault="00696E40" w:rsidP="00A35FB0">
            <w:pPr>
              <w:pStyle w:val="Style"/>
              <w:ind w:left="144" w:hanging="144"/>
              <w:rPr>
                <w:rFonts w:ascii="Garamond" w:hAnsi="Garamond" w:cs="Times New Roman"/>
                <w:sz w:val="20"/>
                <w:szCs w:val="20"/>
                <w:lang w:val="es-ES_tradnl"/>
              </w:rPr>
            </w:pPr>
            <w:r>
              <w:rPr>
                <w:rFonts w:ascii="Garamond" w:hAnsi="Garamond" w:cs="Times New Roman"/>
                <w:sz w:val="20"/>
                <w:szCs w:val="20"/>
                <w:lang w:val="es-ES_tradnl"/>
              </w:rPr>
              <w:t>- Accidentes</w:t>
            </w:r>
            <w:r w:rsidRPr="006960A3">
              <w:rPr>
                <w:rFonts w:ascii="Garamond" w:hAnsi="Garamond" w:cs="Times New Roman"/>
                <w:sz w:val="20"/>
                <w:szCs w:val="20"/>
                <w:lang w:val="es-ES_tradnl"/>
              </w:rPr>
              <w:t xml:space="preserve"> en general (resbalones, caí</w:t>
            </w:r>
            <w:r>
              <w:rPr>
                <w:rFonts w:ascii="Garamond" w:hAnsi="Garamond" w:cs="Times New Roman"/>
                <w:sz w:val="20"/>
                <w:szCs w:val="20"/>
                <w:lang w:val="es-ES_tradnl"/>
              </w:rPr>
              <w:t>das</w:t>
            </w:r>
            <w:r w:rsidRPr="006960A3">
              <w:rPr>
                <w:rFonts w:ascii="Garamond" w:hAnsi="Garamond" w:cs="Times New Roman"/>
                <w:sz w:val="20"/>
                <w:szCs w:val="20"/>
                <w:lang w:val="es-ES_tradnl"/>
              </w:rPr>
              <w:t>)</w:t>
            </w:r>
          </w:p>
          <w:p w:rsidR="00696E40" w:rsidRDefault="00696E40" w:rsidP="00A35FB0">
            <w:pPr>
              <w:pStyle w:val="Style"/>
              <w:ind w:left="144" w:hanging="144"/>
              <w:rPr>
                <w:rFonts w:ascii="Garamond" w:hAnsi="Garamond" w:cs="Times New Roman"/>
                <w:sz w:val="20"/>
                <w:szCs w:val="20"/>
                <w:lang w:val="es-ES_tradnl"/>
              </w:rPr>
            </w:pPr>
            <w:r>
              <w:rPr>
                <w:rFonts w:ascii="Garamond" w:hAnsi="Garamond" w:cs="Times New Roman"/>
                <w:sz w:val="20"/>
                <w:szCs w:val="20"/>
                <w:lang w:val="es-ES_tradnl"/>
              </w:rPr>
              <w:t xml:space="preserve">- </w:t>
            </w:r>
            <w:r w:rsidRPr="006960A3">
              <w:rPr>
                <w:rFonts w:ascii="Garamond" w:hAnsi="Garamond" w:cs="Times New Roman"/>
                <w:sz w:val="20"/>
                <w:szCs w:val="20"/>
                <w:lang w:val="es-ES_tradnl"/>
              </w:rPr>
              <w:t>Casos relacionados con las normas de higiene y seguridad en el trabajo</w:t>
            </w:r>
          </w:p>
          <w:p w:rsidR="00696E40" w:rsidRPr="00377E4D" w:rsidRDefault="00696E40" w:rsidP="00A35FB0">
            <w:pPr>
              <w:pStyle w:val="Style"/>
              <w:ind w:left="144" w:hanging="144"/>
              <w:rPr>
                <w:rFonts w:ascii="Garamond" w:hAnsi="Garamond" w:cs="Times New Roman"/>
                <w:sz w:val="20"/>
                <w:szCs w:val="20"/>
                <w:lang w:val="es-ES_tradnl"/>
              </w:rPr>
            </w:pPr>
            <w:r>
              <w:rPr>
                <w:rFonts w:ascii="Garamond" w:hAnsi="Garamond" w:cs="Times New Roman"/>
                <w:sz w:val="20"/>
                <w:szCs w:val="20"/>
                <w:lang w:val="es-ES_tradnl"/>
              </w:rPr>
              <w:t xml:space="preserve">-  </w:t>
            </w:r>
            <w:r w:rsidRPr="006960A3">
              <w:rPr>
                <w:rFonts w:ascii="Garamond" w:hAnsi="Garamond" w:cs="Times New Roman"/>
                <w:sz w:val="20"/>
                <w:szCs w:val="20"/>
                <w:lang w:val="es-ES_tradnl"/>
              </w:rPr>
              <w:t>Indemnización a los trabajadores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Diversidad y discriminación</w:t>
            </w:r>
          </w:p>
        </w:tc>
        <w:tc>
          <w:tcPr>
            <w:tcW w:w="0" w:type="auto"/>
            <w:vAlign w:val="center"/>
          </w:tcPr>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Todo tipo de discriminación</w:t>
            </w:r>
          </w:p>
        </w:tc>
      </w:tr>
      <w:tr w:rsidR="00696E40" w:rsidRPr="00F729EF" w:rsidTr="00A35FB0">
        <w:trPr>
          <w:cantSplit/>
        </w:trPr>
        <w:tc>
          <w:tcPr>
            <w:tcW w:w="0" w:type="auto"/>
            <w:vMerge w:val="restart"/>
            <w:vAlign w:val="center"/>
          </w:tcPr>
          <w:p w:rsidR="00696E40" w:rsidRPr="00F729EF" w:rsidRDefault="00696E40" w:rsidP="00A35FB0">
            <w:pPr>
              <w:spacing w:before="0" w:after="0"/>
              <w:jc w:val="left"/>
              <w:rPr>
                <w:sz w:val="20"/>
                <w:szCs w:val="20"/>
              </w:rPr>
            </w:pPr>
            <w:r w:rsidRPr="006960A3">
              <w:rPr>
                <w:sz w:val="20"/>
                <w:szCs w:val="20"/>
                <w:lang w:val="es-ES_tradnl"/>
              </w:rPr>
              <w:lastRenderedPageBreak/>
              <w:t>Clientes, productos y prácticas empresariales</w:t>
            </w:r>
          </w:p>
        </w:tc>
        <w:tc>
          <w:tcPr>
            <w:tcW w:w="0" w:type="auto"/>
            <w:vMerge w:val="restart"/>
            <w:vAlign w:val="center"/>
          </w:tcPr>
          <w:p w:rsidR="00696E40" w:rsidRPr="00F729EF" w:rsidRDefault="00696E40" w:rsidP="00A35FB0">
            <w:pPr>
              <w:spacing w:before="0" w:after="0"/>
              <w:rPr>
                <w:sz w:val="20"/>
                <w:szCs w:val="20"/>
              </w:rPr>
            </w:pPr>
            <w:r w:rsidRPr="006960A3">
              <w:rPr>
                <w:sz w:val="20"/>
                <w:szCs w:val="20"/>
                <w:lang w:val="es-ES_tradnl"/>
              </w:rPr>
              <w:t>Pérdidas derivadas del incumplimiento involuntario o negligente de una obligación profesional frente a clientes concretos (incluidos requisitos fiduciarios y de adecuación), o de la naturaleza o diseño de un producto</w:t>
            </w: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Adecuación, divulgación de información y confianza</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Abusos de confianza</w:t>
            </w:r>
          </w:p>
          <w:p w:rsidR="00696E40" w:rsidRDefault="00696E40" w:rsidP="00A35FB0">
            <w:pPr>
              <w:spacing w:before="0" w:after="0"/>
              <w:ind w:left="144" w:hanging="144"/>
              <w:jc w:val="left"/>
              <w:rPr>
                <w:sz w:val="20"/>
                <w:szCs w:val="20"/>
                <w:lang w:val="es-ES_tradnl"/>
              </w:rPr>
            </w:pPr>
            <w:r>
              <w:rPr>
                <w:sz w:val="20"/>
                <w:szCs w:val="20"/>
                <w:lang w:val="es-ES_tradnl"/>
              </w:rPr>
              <w:t>- I</w:t>
            </w:r>
            <w:r w:rsidRPr="006960A3">
              <w:rPr>
                <w:sz w:val="20"/>
                <w:szCs w:val="20"/>
                <w:lang w:val="es-ES_tradnl"/>
              </w:rPr>
              <w:t>ncumplimiento de pautas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 xml:space="preserve">Apropiamiento </w:t>
            </w:r>
            <w:r>
              <w:rPr>
                <w:sz w:val="20"/>
                <w:szCs w:val="20"/>
                <w:lang w:val="es-ES_tradnl"/>
              </w:rPr>
              <w:t>o</w:t>
            </w:r>
            <w:r w:rsidRPr="006960A3">
              <w:rPr>
                <w:sz w:val="20"/>
                <w:szCs w:val="20"/>
                <w:lang w:val="es-ES_tradnl"/>
              </w:rPr>
              <w:t xml:space="preserve"> divulgación de información</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Violación de la privacidad de clientes minoristas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Quebrantamiento de privacidad</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Ventas agresivas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Pérdidas de cuentas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Mal uso de información confidencial</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Responsabilidad del prestamista</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Prácticas empresariales o de mercado impropias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Prácticas ant</w:t>
            </w:r>
            <w:r>
              <w:rPr>
                <w:sz w:val="20"/>
                <w:szCs w:val="20"/>
                <w:lang w:val="es-ES_tradnl"/>
              </w:rPr>
              <w:t xml:space="preserve">i </w:t>
            </w:r>
            <w:r w:rsidRPr="006960A3">
              <w:rPr>
                <w:sz w:val="20"/>
                <w:szCs w:val="20"/>
                <w:lang w:val="es-ES_tradnl"/>
              </w:rPr>
              <w:t>competencia</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Prácticas impropias comerciales y de mercado</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Manipulación del mercado</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Comercialización de información privilegiada a favor de la empresa</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Actividades no autorizadas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Lavado de dinero</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Productos defectuosos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Defectos del producto</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Error de modelo</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Selección, patrocinio y riesgos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Fallida investigación a clientes y según los protocolos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Superación de los límites de exposición frente a clientes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Actividades de asesoramiento</w:t>
            </w:r>
          </w:p>
        </w:tc>
        <w:tc>
          <w:tcPr>
            <w:tcW w:w="0" w:type="auto"/>
            <w:vAlign w:val="center"/>
          </w:tcPr>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Litigios sobre resultados de las actividades de asesoramiento</w:t>
            </w:r>
          </w:p>
        </w:tc>
      </w:tr>
      <w:tr w:rsidR="00696E40" w:rsidRPr="00F729EF" w:rsidTr="00A35FB0">
        <w:trPr>
          <w:cantSplit/>
        </w:trPr>
        <w:tc>
          <w:tcPr>
            <w:tcW w:w="0" w:type="auto"/>
            <w:vMerge w:val="restart"/>
            <w:vAlign w:val="center"/>
          </w:tcPr>
          <w:p w:rsidR="00696E40" w:rsidRPr="00F729EF" w:rsidRDefault="00696E40" w:rsidP="00A35FB0">
            <w:pPr>
              <w:spacing w:before="0" w:after="0"/>
              <w:jc w:val="left"/>
              <w:rPr>
                <w:sz w:val="20"/>
                <w:szCs w:val="20"/>
              </w:rPr>
            </w:pPr>
            <w:r w:rsidRPr="006960A3">
              <w:rPr>
                <w:sz w:val="20"/>
                <w:szCs w:val="20"/>
                <w:lang w:val="es-ES_tradnl"/>
              </w:rPr>
              <w:lastRenderedPageBreak/>
              <w:t>Ejecución, entrega y gestión de procesos</w:t>
            </w:r>
          </w:p>
        </w:tc>
        <w:tc>
          <w:tcPr>
            <w:tcW w:w="0" w:type="auto"/>
            <w:vMerge w:val="restart"/>
            <w:vAlign w:val="center"/>
          </w:tcPr>
          <w:p w:rsidR="00696E40" w:rsidRPr="00F729EF" w:rsidRDefault="00696E40" w:rsidP="00A35FB0">
            <w:pPr>
              <w:spacing w:before="0" w:after="0"/>
              <w:rPr>
                <w:sz w:val="20"/>
                <w:szCs w:val="20"/>
              </w:rPr>
            </w:pPr>
            <w:r w:rsidRPr="006960A3">
              <w:rPr>
                <w:sz w:val="20"/>
                <w:szCs w:val="20"/>
                <w:lang w:val="es-ES_tradnl"/>
              </w:rPr>
              <w:t>Pérdidas derivadas de errores en el procesamiento de operaciones o en la gestión de procesos, así como de relaciones con contrapartes comerciales y proveedores</w:t>
            </w: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Recepción, ejecución mantenimiento de operaciones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Comunicación defectuosa</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E</w:t>
            </w:r>
            <w:r>
              <w:rPr>
                <w:sz w:val="20"/>
                <w:szCs w:val="20"/>
                <w:lang w:val="es-ES_tradnl"/>
              </w:rPr>
              <w:t>rrores de introducción de datos</w:t>
            </w:r>
            <w:r w:rsidRPr="006960A3">
              <w:rPr>
                <w:sz w:val="20"/>
                <w:szCs w:val="20"/>
                <w:lang w:val="es-ES_tradnl"/>
              </w:rPr>
              <w:t xml:space="preserve"> </w:t>
            </w:r>
            <w:r>
              <w:rPr>
                <w:sz w:val="20"/>
                <w:szCs w:val="20"/>
                <w:lang w:val="es-ES_tradnl"/>
              </w:rPr>
              <w:t>m</w:t>
            </w:r>
            <w:r w:rsidRPr="006960A3">
              <w:rPr>
                <w:sz w:val="20"/>
                <w:szCs w:val="20"/>
                <w:lang w:val="es-ES_tradnl"/>
              </w:rPr>
              <w:t>antenimiento o descarga</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Incumplimiento de plazos o de  responsabilidades</w:t>
            </w:r>
          </w:p>
          <w:p w:rsidR="00696E40" w:rsidRDefault="00696E40" w:rsidP="00A35FB0">
            <w:pPr>
              <w:spacing w:before="0" w:after="0"/>
              <w:ind w:left="144" w:hanging="144"/>
              <w:jc w:val="left"/>
              <w:rPr>
                <w:sz w:val="20"/>
                <w:szCs w:val="20"/>
                <w:lang w:val="es-ES_tradnl"/>
              </w:rPr>
            </w:pPr>
            <w:r>
              <w:rPr>
                <w:sz w:val="20"/>
                <w:szCs w:val="20"/>
                <w:lang w:val="es-ES_tradnl"/>
              </w:rPr>
              <w:t xml:space="preserve">- Ejecución errónea de modelos o </w:t>
            </w:r>
            <w:r w:rsidRPr="006960A3">
              <w:rPr>
                <w:sz w:val="20"/>
                <w:szCs w:val="20"/>
                <w:lang w:val="es-ES_tradnl"/>
              </w:rPr>
              <w:t>sistemas</w:t>
            </w:r>
          </w:p>
          <w:p w:rsidR="00696E40" w:rsidRDefault="00696E40" w:rsidP="00A35FB0">
            <w:pPr>
              <w:spacing w:before="0" w:after="0"/>
              <w:ind w:left="144" w:hanging="144"/>
              <w:jc w:val="left"/>
              <w:rPr>
                <w:sz w:val="20"/>
                <w:szCs w:val="20"/>
                <w:lang w:val="es-ES_tradnl"/>
              </w:rPr>
            </w:pPr>
            <w:r>
              <w:rPr>
                <w:sz w:val="20"/>
                <w:szCs w:val="20"/>
                <w:lang w:val="es-ES_tradnl"/>
              </w:rPr>
              <w:t>- Error contable</w:t>
            </w:r>
          </w:p>
          <w:p w:rsidR="00696E40" w:rsidRDefault="00696E40" w:rsidP="00A35FB0">
            <w:pPr>
              <w:spacing w:before="0" w:after="0"/>
              <w:ind w:left="144" w:hanging="144"/>
              <w:jc w:val="left"/>
              <w:rPr>
                <w:sz w:val="20"/>
                <w:szCs w:val="20"/>
                <w:lang w:val="es-ES_tradnl"/>
              </w:rPr>
            </w:pPr>
            <w:r>
              <w:rPr>
                <w:sz w:val="20"/>
                <w:szCs w:val="20"/>
                <w:lang w:val="es-ES_tradnl"/>
              </w:rPr>
              <w:t>-</w:t>
            </w:r>
            <w:r w:rsidRPr="006960A3">
              <w:rPr>
                <w:sz w:val="20"/>
                <w:szCs w:val="20"/>
                <w:lang w:val="es-ES_tradnl"/>
              </w:rPr>
              <w:t xml:space="preserve"> </w:t>
            </w:r>
            <w:r>
              <w:rPr>
                <w:sz w:val="20"/>
                <w:szCs w:val="20"/>
                <w:lang w:val="es-ES_tradnl"/>
              </w:rPr>
              <w:t>A</w:t>
            </w:r>
            <w:r w:rsidRPr="006960A3">
              <w:rPr>
                <w:sz w:val="20"/>
                <w:szCs w:val="20"/>
                <w:lang w:val="es-ES_tradnl"/>
              </w:rPr>
              <w:t>tribución a entidades erróneas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Errores en otras tareas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Fallo en la entrega</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Fallo en la gestión del colateral</w:t>
            </w:r>
          </w:p>
          <w:p w:rsidR="00696E40" w:rsidRPr="00F729EF" w:rsidRDefault="00696E40" w:rsidP="00A35FB0">
            <w:pPr>
              <w:spacing w:before="0" w:after="0"/>
              <w:ind w:left="144" w:hanging="144"/>
              <w:jc w:val="left"/>
              <w:rPr>
                <w:sz w:val="20"/>
                <w:szCs w:val="20"/>
              </w:rPr>
            </w:pPr>
            <w:r>
              <w:rPr>
                <w:sz w:val="20"/>
                <w:szCs w:val="20"/>
                <w:lang w:val="es-ES_tradnl"/>
              </w:rPr>
              <w:t>-</w:t>
            </w:r>
            <w:r w:rsidRPr="006960A3">
              <w:rPr>
                <w:sz w:val="20"/>
                <w:szCs w:val="20"/>
                <w:lang w:val="es-ES_tradnl"/>
              </w:rPr>
              <w:t xml:space="preserve"> Mantenimiento de datos de referencia</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Seguimiento y Monitoreo</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Incumplimiento en la obligación reportar</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Inexactitud de informes externos (incurriendo en pérdidas)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Aceptación de clientes y documentación</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Extravío de autorizaciones o </w:t>
            </w:r>
            <w:r w:rsidRPr="006960A3">
              <w:rPr>
                <w:sz w:val="20"/>
                <w:szCs w:val="20"/>
                <w:lang w:val="es-ES_tradnl"/>
              </w:rPr>
              <w:t>rechazos de clientes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Docu</w:t>
            </w:r>
            <w:r>
              <w:rPr>
                <w:sz w:val="20"/>
                <w:szCs w:val="20"/>
                <w:lang w:val="es-ES_tradnl"/>
              </w:rPr>
              <w:t xml:space="preserve">mentos jurídicos inexistentes o </w:t>
            </w:r>
            <w:r w:rsidRPr="006960A3">
              <w:rPr>
                <w:sz w:val="20"/>
                <w:szCs w:val="20"/>
                <w:lang w:val="es-ES_tradnl"/>
              </w:rPr>
              <w:t>incompletos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Gestión de cuentas de clientes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Acceso no autorizado a cuentas</w:t>
            </w:r>
          </w:p>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Registros incorrectos de clientes (incurriendo en pérdidas)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Pérdida o daño de activos de clientes por negligencia</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Pr>
                <w:sz w:val="20"/>
                <w:szCs w:val="20"/>
                <w:lang w:val="es-ES_tradnl"/>
              </w:rPr>
              <w:t>Contra</w:t>
            </w:r>
            <w:r w:rsidRPr="006960A3">
              <w:rPr>
                <w:sz w:val="20"/>
                <w:szCs w:val="20"/>
                <w:lang w:val="es-ES_tradnl"/>
              </w:rPr>
              <w:t>partes comerciales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Fallos con contrapartes no-clientes</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Otros litigios con contrapartes distintas de clientes</w:t>
            </w:r>
          </w:p>
        </w:tc>
      </w:tr>
      <w:tr w:rsidR="00696E40" w:rsidRPr="00F729EF" w:rsidTr="00A35FB0">
        <w:trPr>
          <w:cantSplit/>
        </w:trPr>
        <w:tc>
          <w:tcPr>
            <w:tcW w:w="0" w:type="auto"/>
            <w:vMerge/>
            <w:vAlign w:val="center"/>
          </w:tcPr>
          <w:p w:rsidR="00696E40" w:rsidRPr="00F729EF" w:rsidRDefault="00696E40" w:rsidP="00A35FB0">
            <w:pPr>
              <w:spacing w:before="0" w:after="0"/>
              <w:jc w:val="left"/>
              <w:rPr>
                <w:sz w:val="20"/>
                <w:szCs w:val="20"/>
              </w:rPr>
            </w:pPr>
          </w:p>
        </w:tc>
        <w:tc>
          <w:tcPr>
            <w:tcW w:w="0" w:type="auto"/>
            <w:vMerge/>
            <w:vAlign w:val="center"/>
          </w:tcPr>
          <w:p w:rsidR="00696E40" w:rsidRPr="00F729EF" w:rsidRDefault="00696E40" w:rsidP="00A35FB0">
            <w:pPr>
              <w:spacing w:before="0" w:after="0"/>
              <w:jc w:val="left"/>
              <w:rPr>
                <w:sz w:val="20"/>
                <w:szCs w:val="20"/>
              </w:rPr>
            </w:pPr>
          </w:p>
        </w:tc>
        <w:tc>
          <w:tcPr>
            <w:tcW w:w="0" w:type="auto"/>
            <w:vAlign w:val="center"/>
          </w:tcPr>
          <w:p w:rsidR="00696E40" w:rsidRPr="00F729EF" w:rsidRDefault="00696E40" w:rsidP="00A35FB0">
            <w:pPr>
              <w:spacing w:before="0" w:after="0"/>
              <w:jc w:val="left"/>
              <w:rPr>
                <w:sz w:val="20"/>
                <w:szCs w:val="20"/>
              </w:rPr>
            </w:pPr>
            <w:r w:rsidRPr="006960A3">
              <w:rPr>
                <w:sz w:val="20"/>
                <w:szCs w:val="20"/>
                <w:lang w:val="es-ES_tradnl"/>
              </w:rPr>
              <w:t>Distribuidores y proveedores</w:t>
            </w:r>
          </w:p>
        </w:tc>
        <w:tc>
          <w:tcPr>
            <w:tcW w:w="0" w:type="auto"/>
            <w:vAlign w:val="center"/>
          </w:tcPr>
          <w:p w:rsidR="00696E40" w:rsidRDefault="00696E40" w:rsidP="00A35FB0">
            <w:pPr>
              <w:spacing w:before="0" w:after="0"/>
              <w:ind w:left="144" w:hanging="144"/>
              <w:jc w:val="left"/>
              <w:rPr>
                <w:sz w:val="20"/>
                <w:szCs w:val="20"/>
                <w:lang w:val="es-ES_tradnl"/>
              </w:rPr>
            </w:pPr>
            <w:r>
              <w:rPr>
                <w:sz w:val="20"/>
                <w:szCs w:val="20"/>
                <w:lang w:val="es-ES_tradnl"/>
              </w:rPr>
              <w:t xml:space="preserve">- </w:t>
            </w:r>
            <w:r w:rsidRPr="006960A3">
              <w:rPr>
                <w:sz w:val="20"/>
                <w:szCs w:val="20"/>
                <w:lang w:val="es-ES_tradnl"/>
              </w:rPr>
              <w:t>Subcontratación</w:t>
            </w:r>
          </w:p>
          <w:p w:rsidR="00696E40" w:rsidRPr="00F729EF" w:rsidRDefault="00696E40" w:rsidP="00A35FB0">
            <w:pPr>
              <w:spacing w:before="0" w:after="0"/>
              <w:ind w:left="144" w:hanging="144"/>
              <w:jc w:val="left"/>
              <w:rPr>
                <w:sz w:val="20"/>
                <w:szCs w:val="20"/>
              </w:rPr>
            </w:pPr>
            <w:r>
              <w:rPr>
                <w:sz w:val="20"/>
                <w:szCs w:val="20"/>
                <w:lang w:val="es-ES_tradnl"/>
              </w:rPr>
              <w:t xml:space="preserve">- </w:t>
            </w:r>
            <w:r w:rsidRPr="006960A3">
              <w:rPr>
                <w:sz w:val="20"/>
                <w:szCs w:val="20"/>
                <w:lang w:val="es-ES_tradnl"/>
              </w:rPr>
              <w:t>Litigios con distribuidores</w:t>
            </w:r>
          </w:p>
        </w:tc>
      </w:tr>
    </w:tbl>
    <w:p w:rsidR="00696E40" w:rsidRDefault="00696E40" w:rsidP="00696E40">
      <w:pPr>
        <w:spacing w:before="0" w:after="0"/>
        <w:rPr>
          <w:lang w:val="es-ES_tradnl" w:eastAsia="en-US"/>
        </w:rPr>
      </w:pPr>
    </w:p>
    <w:p w:rsidR="00696E40" w:rsidRDefault="00696E40" w:rsidP="00696E40">
      <w:pPr>
        <w:spacing w:before="0" w:after="0"/>
        <w:rPr>
          <w:lang w:val="es-ES_tradnl" w:eastAsia="en-US"/>
        </w:rPr>
      </w:pPr>
    </w:p>
    <w:p w:rsidR="00F63892" w:rsidRDefault="00F63892" w:rsidP="00696E40">
      <w:pPr>
        <w:spacing w:before="0" w:after="0"/>
        <w:rPr>
          <w:lang w:val="es-ES_tradnl" w:eastAsia="en-US"/>
        </w:rPr>
      </w:pPr>
    </w:p>
    <w:p w:rsidR="00F63892" w:rsidRDefault="00F63892" w:rsidP="00696E40">
      <w:pPr>
        <w:spacing w:before="0" w:after="0"/>
        <w:rPr>
          <w:lang w:val="es-ES_tradnl" w:eastAsia="en-US"/>
        </w:rPr>
      </w:pPr>
    </w:p>
    <w:p w:rsidR="00F63892" w:rsidRDefault="00F63892" w:rsidP="00696E40">
      <w:pPr>
        <w:spacing w:before="0" w:after="0"/>
        <w:rPr>
          <w:lang w:val="es-ES_tradnl" w:eastAsia="en-US"/>
        </w:rPr>
      </w:pPr>
    </w:p>
    <w:p w:rsidR="00F63892" w:rsidRDefault="00F63892" w:rsidP="00696E40">
      <w:pPr>
        <w:spacing w:before="0" w:after="0"/>
        <w:rPr>
          <w:lang w:val="es-ES_tradnl" w:eastAsia="en-US"/>
        </w:rPr>
      </w:pPr>
    </w:p>
    <w:p w:rsidR="00F63892" w:rsidRDefault="00F63892" w:rsidP="00696E40">
      <w:pPr>
        <w:spacing w:before="0" w:after="0"/>
        <w:rPr>
          <w:lang w:val="es-ES_tradnl" w:eastAsia="en-US"/>
        </w:rPr>
      </w:pPr>
    </w:p>
    <w:p w:rsidR="00F63892" w:rsidRDefault="00F63892" w:rsidP="00696E40">
      <w:pPr>
        <w:spacing w:before="0" w:after="0"/>
        <w:rPr>
          <w:lang w:val="es-ES_tradnl" w:eastAsia="en-US"/>
        </w:rPr>
      </w:pPr>
    </w:p>
    <w:p w:rsidR="00696E40" w:rsidRDefault="00696E40" w:rsidP="00696E40">
      <w:pPr>
        <w:spacing w:before="0" w:after="0"/>
        <w:rPr>
          <w:lang w:val="es-ES_tradnl" w:eastAsia="en-US"/>
        </w:rPr>
      </w:pPr>
    </w:p>
    <w:p w:rsidR="00696E40" w:rsidRPr="00F63892" w:rsidRDefault="00696E40" w:rsidP="00696E40">
      <w:pPr>
        <w:spacing w:before="0" w:after="0"/>
        <w:rPr>
          <w:rFonts w:asciiTheme="minorHAnsi" w:hAnsiTheme="minorHAnsi"/>
          <w:b/>
          <w:sz w:val="22"/>
          <w:szCs w:val="22"/>
          <w:lang w:val="es-ES_tradnl" w:eastAsia="en-US"/>
        </w:rPr>
      </w:pPr>
      <w:r w:rsidRPr="00F63892">
        <w:rPr>
          <w:rFonts w:asciiTheme="minorHAnsi" w:hAnsiTheme="minorHAnsi"/>
          <w:b/>
          <w:sz w:val="22"/>
          <w:szCs w:val="22"/>
          <w:lang w:val="es-ES_tradnl" w:eastAsia="en-US"/>
        </w:rPr>
        <w:t>CUESTIONARIO</w:t>
      </w:r>
    </w:p>
    <w:p w:rsidR="00696E40" w:rsidRPr="00AF31B3" w:rsidRDefault="00696E40" w:rsidP="00696E40">
      <w:pPr>
        <w:spacing w:before="0" w:after="0"/>
        <w:rPr>
          <w:rFonts w:asciiTheme="minorHAnsi" w:hAnsiTheme="minorHAnsi"/>
          <w:sz w:val="22"/>
          <w:szCs w:val="22"/>
          <w:lang w:val="es-ES_tradnl" w:eastAsia="en-US"/>
        </w:rPr>
      </w:pPr>
    </w:p>
    <w:p w:rsidR="00696E40" w:rsidRPr="00AF31B3" w:rsidRDefault="00696E40" w:rsidP="00696E40">
      <w:pPr>
        <w:spacing w:before="0" w:after="0"/>
        <w:rPr>
          <w:rFonts w:asciiTheme="minorHAnsi" w:hAnsiTheme="minorHAnsi"/>
          <w:sz w:val="22"/>
          <w:szCs w:val="22"/>
          <w:lang w:val="es-ES_tradnl" w:eastAsia="en-US"/>
        </w:rPr>
      </w:pPr>
      <w:r w:rsidRPr="00AF31B3">
        <w:rPr>
          <w:rFonts w:asciiTheme="minorHAnsi" w:hAnsiTheme="minorHAnsi"/>
          <w:sz w:val="22"/>
          <w:szCs w:val="22"/>
          <w:lang w:val="es-ES_tradnl" w:eastAsia="en-US"/>
        </w:rPr>
        <w:t>Por favor dar respuesta en un archivo Word o Excel a las siguientes preguntas. Sus respuestas serán manejadas con total discreción y sólo serán usadas para el propósito antes expuesto.</w:t>
      </w:r>
    </w:p>
    <w:p w:rsidR="00696E40" w:rsidRPr="00AF31B3" w:rsidRDefault="00696E40" w:rsidP="00696E40">
      <w:pPr>
        <w:spacing w:before="0" w:after="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¿Tiene aprobada la IMF políticas, lineamientos, procedimientos, estrategias o normas internas para la gestión del riesgo operativo? Explique indicando instancia y fecha de aprobación. Si son varias, detalle cada una.</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¿Quién es el responsable de la gestión del riesgo operativo?</w:t>
      </w:r>
    </w:p>
    <w:p w:rsidR="00696E40" w:rsidRPr="00AF31B3" w:rsidRDefault="00696E40" w:rsidP="00696E40">
      <w:pPr>
        <w:pStyle w:val="Prrafodelista"/>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¿Cómo se vigila el riesgo operativo?</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¿Cuál es la definición de riesgo operativo que usa la IMF?</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¿Cómo clasifican las distintas fuentes de riesgo operativo? (No incluya las áreas cubiertas por la N</w:t>
      </w:r>
      <w:proofErr w:type="spellStart"/>
      <w:r w:rsidRPr="00AF31B3">
        <w:rPr>
          <w:rFonts w:asciiTheme="minorHAnsi" w:hAnsiTheme="minorHAnsi"/>
          <w:sz w:val="22"/>
          <w:szCs w:val="22"/>
        </w:rPr>
        <w:t>orma</w:t>
      </w:r>
      <w:proofErr w:type="spellEnd"/>
      <w:r w:rsidRPr="00AF31B3">
        <w:rPr>
          <w:rFonts w:asciiTheme="minorHAnsi" w:hAnsiTheme="minorHAnsi"/>
          <w:sz w:val="22"/>
          <w:szCs w:val="22"/>
        </w:rPr>
        <w:t xml:space="preserve"> sobre Gestión de Riesgo Tecnológico para Instituciones de </w:t>
      </w:r>
      <w:proofErr w:type="spellStart"/>
      <w:r w:rsidRPr="00AF31B3">
        <w:rPr>
          <w:rFonts w:asciiTheme="minorHAnsi" w:hAnsiTheme="minorHAnsi"/>
          <w:sz w:val="22"/>
          <w:szCs w:val="22"/>
        </w:rPr>
        <w:t>Microfinanzas</w:t>
      </w:r>
      <w:proofErr w:type="spellEnd"/>
      <w:r w:rsidRPr="00AF31B3">
        <w:rPr>
          <w:rFonts w:asciiTheme="minorHAnsi" w:hAnsiTheme="minorHAnsi"/>
          <w:sz w:val="22"/>
          <w:szCs w:val="22"/>
        </w:rPr>
        <w:t>).</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¿Qué métodos usa para cuantificar las pérdidas monetarias debidas a eventos de riesgo operativo?</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¿Contempla sus políticas cuasi eventos?</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¿Usan un esquema de clasificación de eventos y cuasi eventos, y cuáles son?</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¿Qué métodos utiliza para cuantificar el riesgo operativo, tanto respecto al impacto como su probabilidad?</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¿Por cuánto tiempo mantienen los registros históricos de eventos de riesgo operativo?</w:t>
      </w:r>
    </w:p>
    <w:p w:rsidR="00696E40" w:rsidRPr="00AF31B3" w:rsidRDefault="00696E40" w:rsidP="00696E40">
      <w:pPr>
        <w:pStyle w:val="Prrafodelista"/>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¿Y en el caso de los cuasi eventos?</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¿Ha desarrollado o adquirido sistemas para el apoyo en la gestión del riesgo operativo? Esto se refiere a sistemas para el registro de eventos de riesgo operativo, identificación de interrelaciones entre distintas fuentes de riesgo operativo, pérdida monetaria asociada a los eventos.</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¿Cuál es el proceso de análisis luego de un evento (o cuasi evento)?</w:t>
      </w:r>
    </w:p>
    <w:p w:rsidR="00696E40" w:rsidRPr="00AF31B3" w:rsidRDefault="00696E40" w:rsidP="00696E40">
      <w:pPr>
        <w:pStyle w:val="Prrafodelista"/>
        <w:spacing w:before="0" w:after="0"/>
        <w:ind w:left="0"/>
        <w:contextualSpacing w:val="0"/>
        <w:rPr>
          <w:rFonts w:asciiTheme="minorHAnsi" w:hAnsiTheme="minorHAnsi"/>
          <w:sz w:val="22"/>
          <w:szCs w:val="22"/>
          <w:lang w:val="es-ES_tradnl" w:eastAsia="en-US"/>
        </w:rPr>
      </w:pPr>
    </w:p>
    <w:p w:rsidR="00696E40" w:rsidRPr="00AF31B3" w:rsidRDefault="00696E40" w:rsidP="00696E40">
      <w:pPr>
        <w:pStyle w:val="Prrafodelista"/>
        <w:numPr>
          <w:ilvl w:val="0"/>
          <w:numId w:val="1"/>
        </w:numPr>
        <w:spacing w:before="0" w:after="0"/>
        <w:contextualSpacing w:val="0"/>
        <w:rPr>
          <w:rFonts w:asciiTheme="minorHAnsi" w:hAnsiTheme="minorHAnsi"/>
          <w:sz w:val="22"/>
          <w:szCs w:val="22"/>
          <w:lang w:val="es-ES_tradnl" w:eastAsia="en-US"/>
        </w:rPr>
      </w:pPr>
      <w:r w:rsidRPr="00AF31B3">
        <w:rPr>
          <w:rFonts w:asciiTheme="minorHAnsi" w:hAnsiTheme="minorHAnsi"/>
          <w:sz w:val="22"/>
          <w:szCs w:val="22"/>
          <w:lang w:val="es-ES_tradnl" w:eastAsia="en-US"/>
        </w:rPr>
        <w:t>¿Se modifican los esquemas de mitigación producto de ese análisis?</w:t>
      </w:r>
    </w:p>
    <w:p w:rsidR="00696E40" w:rsidRPr="00AF31B3" w:rsidRDefault="00696E40" w:rsidP="00696E40">
      <w:pPr>
        <w:spacing w:before="0" w:after="0"/>
        <w:rPr>
          <w:rFonts w:asciiTheme="minorHAnsi" w:hAnsiTheme="minorHAnsi"/>
          <w:sz w:val="22"/>
          <w:szCs w:val="22"/>
          <w:lang w:val="es-ES_tradnl" w:eastAsia="en-US"/>
        </w:rPr>
      </w:pPr>
    </w:p>
    <w:p w:rsidR="00696E40" w:rsidRPr="00547282" w:rsidRDefault="00696E40" w:rsidP="00696E40">
      <w:pPr>
        <w:spacing w:before="0" w:after="0"/>
        <w:rPr>
          <w:lang w:val="es-ES_tradnl"/>
        </w:rPr>
      </w:pPr>
    </w:p>
    <w:p w:rsidR="00310FC2" w:rsidRPr="00310FC2" w:rsidRDefault="00310FC2" w:rsidP="00310F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rPr>
          <w:rFonts w:asciiTheme="minorHAnsi" w:hAnsiTheme="minorHAnsi"/>
          <w:sz w:val="22"/>
          <w:szCs w:val="22"/>
        </w:rPr>
      </w:pPr>
      <w:r w:rsidRPr="00310FC2">
        <w:rPr>
          <w:rFonts w:asciiTheme="minorHAnsi" w:hAnsiTheme="minorHAnsi"/>
          <w:sz w:val="22"/>
          <w:szCs w:val="22"/>
        </w:rPr>
        <w:t>Enviar las respuestas a más tardar el día</w:t>
      </w:r>
      <w:r w:rsidRPr="00310FC2">
        <w:rPr>
          <w:rFonts w:asciiTheme="minorHAnsi" w:hAnsiTheme="minorHAnsi"/>
          <w:b/>
          <w:sz w:val="22"/>
          <w:szCs w:val="22"/>
        </w:rPr>
        <w:t xml:space="preserve"> viernes, 20 de noviembre del corriente año</w:t>
      </w:r>
      <w:r w:rsidRPr="00310FC2">
        <w:rPr>
          <w:rFonts w:asciiTheme="minorHAnsi" w:hAnsiTheme="minorHAnsi"/>
          <w:sz w:val="22"/>
          <w:szCs w:val="22"/>
        </w:rPr>
        <w:t xml:space="preserve">, en físico y por medio de correo electrónico a </w:t>
      </w:r>
      <w:hyperlink r:id="rId7" w:history="1">
        <w:r w:rsidRPr="00310FC2">
          <w:rPr>
            <w:rStyle w:val="Hipervnculo"/>
            <w:rFonts w:asciiTheme="minorHAnsi" w:hAnsiTheme="minorHAnsi"/>
            <w:sz w:val="22"/>
            <w:szCs w:val="22"/>
          </w:rPr>
          <w:t>kmiranda@conami.gob.ni</w:t>
        </w:r>
      </w:hyperlink>
      <w:r w:rsidRPr="00310FC2">
        <w:rPr>
          <w:rStyle w:val="Hipervnculo"/>
          <w:rFonts w:asciiTheme="minorHAnsi" w:hAnsiTheme="minorHAnsi"/>
          <w:sz w:val="22"/>
          <w:szCs w:val="22"/>
        </w:rPr>
        <w:t>,</w:t>
      </w:r>
      <w:hyperlink r:id="rId8" w:history="1"/>
      <w:r w:rsidRPr="00310FC2">
        <w:rPr>
          <w:rFonts w:asciiTheme="minorHAnsi" w:hAnsiTheme="minorHAnsi"/>
          <w:sz w:val="22"/>
          <w:szCs w:val="22"/>
        </w:rPr>
        <w:t xml:space="preserve"> y</w:t>
      </w:r>
      <w:r w:rsidRPr="00310FC2">
        <w:rPr>
          <w:rStyle w:val="Hipervnculo"/>
          <w:rFonts w:asciiTheme="minorHAnsi" w:hAnsiTheme="minorHAnsi"/>
          <w:sz w:val="22"/>
          <w:szCs w:val="22"/>
        </w:rPr>
        <w:t xml:space="preserve">  </w:t>
      </w:r>
      <w:hyperlink r:id="rId9" w:history="1">
        <w:r w:rsidRPr="00310FC2">
          <w:rPr>
            <w:rStyle w:val="Hipervnculo"/>
            <w:rFonts w:asciiTheme="minorHAnsi" w:hAnsiTheme="minorHAnsi"/>
            <w:sz w:val="22"/>
            <w:szCs w:val="22"/>
          </w:rPr>
          <w:t>correo@conami.gob.ni</w:t>
        </w:r>
      </w:hyperlink>
      <w:r w:rsidRPr="00310FC2">
        <w:rPr>
          <w:rStyle w:val="Hipervnculo"/>
          <w:rFonts w:asciiTheme="minorHAnsi" w:hAnsiTheme="minorHAnsi"/>
          <w:sz w:val="22"/>
          <w:szCs w:val="22"/>
        </w:rPr>
        <w:t xml:space="preserve">. </w:t>
      </w:r>
      <w:r w:rsidRPr="00310FC2">
        <w:rPr>
          <w:rStyle w:val="Hipervnculo"/>
          <w:rFonts w:asciiTheme="minorHAnsi" w:hAnsiTheme="minorHAnsi"/>
          <w:color w:val="auto"/>
          <w:sz w:val="22"/>
          <w:szCs w:val="22"/>
          <w:u w:val="none"/>
        </w:rPr>
        <w:t>Si tienen consultas sobre est</w:t>
      </w:r>
      <w:r>
        <w:rPr>
          <w:rStyle w:val="Hipervnculo"/>
          <w:rFonts w:asciiTheme="minorHAnsi" w:hAnsiTheme="minorHAnsi"/>
          <w:color w:val="auto"/>
          <w:sz w:val="22"/>
          <w:szCs w:val="22"/>
          <w:u w:val="none"/>
        </w:rPr>
        <w:t>e</w:t>
      </w:r>
      <w:r w:rsidRPr="00310FC2">
        <w:rPr>
          <w:rStyle w:val="Hipervnculo"/>
          <w:rFonts w:asciiTheme="minorHAnsi" w:hAnsiTheme="minorHAnsi"/>
          <w:color w:val="auto"/>
          <w:sz w:val="22"/>
          <w:szCs w:val="22"/>
          <w:u w:val="none"/>
        </w:rPr>
        <w:t xml:space="preserve"> cuestionario por favor enviarlas también a estas direcciones para que puedan ser atendidas.</w:t>
      </w:r>
    </w:p>
    <w:p w:rsidR="000470CC" w:rsidRPr="00310FC2" w:rsidRDefault="009A3132"/>
    <w:sectPr w:rsidR="000470CC" w:rsidRPr="00310FC2" w:rsidSect="00FA1AF6">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32" w:rsidRDefault="009A3132" w:rsidP="00696E40">
      <w:pPr>
        <w:spacing w:before="0" w:after="0"/>
      </w:pPr>
      <w:r>
        <w:separator/>
      </w:r>
    </w:p>
  </w:endnote>
  <w:endnote w:type="continuationSeparator" w:id="0">
    <w:p w:rsidR="009A3132" w:rsidRDefault="009A3132" w:rsidP="00696E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92" w:rsidRDefault="00F6389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B4E69" w:rsidRPr="005B4E69">
      <w:rPr>
        <w:caps/>
        <w:noProof/>
        <w:color w:val="5B9BD5" w:themeColor="accent1"/>
        <w:lang w:val="es-ES"/>
      </w:rPr>
      <w:t>5</w:t>
    </w:r>
    <w:r>
      <w:rPr>
        <w:caps/>
        <w:color w:val="5B9BD5" w:themeColor="accent1"/>
      </w:rPr>
      <w:fldChar w:fldCharType="end"/>
    </w:r>
  </w:p>
  <w:p w:rsidR="00F63892" w:rsidRDefault="00F638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32" w:rsidRDefault="009A3132" w:rsidP="00696E40">
      <w:pPr>
        <w:spacing w:before="0" w:after="0"/>
      </w:pPr>
      <w:r>
        <w:separator/>
      </w:r>
    </w:p>
  </w:footnote>
  <w:footnote w:type="continuationSeparator" w:id="0">
    <w:p w:rsidR="009A3132" w:rsidRDefault="009A3132" w:rsidP="00696E40">
      <w:pPr>
        <w:spacing w:before="0" w:after="0"/>
      </w:pPr>
      <w:r>
        <w:continuationSeparator/>
      </w:r>
    </w:p>
  </w:footnote>
  <w:footnote w:id="1">
    <w:p w:rsidR="00696E40" w:rsidRPr="00AF31B3" w:rsidRDefault="00696E40" w:rsidP="00696E40">
      <w:pPr>
        <w:pStyle w:val="Textonotapie"/>
        <w:rPr>
          <w:rFonts w:asciiTheme="minorHAnsi" w:hAnsiTheme="minorHAnsi"/>
          <w:sz w:val="18"/>
          <w:szCs w:val="18"/>
          <w:lang w:val="es-PE"/>
        </w:rPr>
      </w:pPr>
      <w:r>
        <w:rPr>
          <w:rStyle w:val="Refdenotaalpie"/>
        </w:rPr>
        <w:footnoteRef/>
      </w:r>
      <w:r>
        <w:tab/>
      </w:r>
      <w:r w:rsidRPr="00AF31B3">
        <w:rPr>
          <w:rFonts w:asciiTheme="minorHAnsi" w:hAnsiTheme="minorHAnsi"/>
          <w:sz w:val="18"/>
          <w:szCs w:val="18"/>
        </w:rPr>
        <w:t xml:space="preserve">Resolución CD-CONAMI-017-01AGO21-2014, Norma sobre Gestión de Riesgo Tecnológico para Instituciones de </w:t>
      </w:r>
      <w:proofErr w:type="spellStart"/>
      <w:r w:rsidRPr="00AF31B3">
        <w:rPr>
          <w:rFonts w:asciiTheme="minorHAnsi" w:hAnsiTheme="minorHAnsi"/>
          <w:sz w:val="18"/>
          <w:szCs w:val="18"/>
        </w:rPr>
        <w:t>Microfinanzas</w:t>
      </w:r>
      <w:proofErr w:type="spellEnd"/>
      <w:r w:rsidRPr="00AF31B3">
        <w:rPr>
          <w:rFonts w:asciiTheme="minorHAnsi" w:hAnsiTheme="minorHAnsi"/>
          <w:sz w:val="18"/>
          <w:szCs w:val="18"/>
        </w:rPr>
        <w:t>.</w:t>
      </w:r>
    </w:p>
  </w:footnote>
  <w:footnote w:id="2">
    <w:p w:rsidR="00696E40" w:rsidRPr="00AF31B3" w:rsidRDefault="00696E40" w:rsidP="00696E40">
      <w:pPr>
        <w:pStyle w:val="Textonotapie"/>
        <w:rPr>
          <w:rFonts w:asciiTheme="minorHAnsi" w:hAnsiTheme="minorHAnsi"/>
          <w:sz w:val="18"/>
          <w:szCs w:val="18"/>
          <w:lang w:val="es-PE"/>
        </w:rPr>
      </w:pPr>
      <w:r w:rsidRPr="00AF31B3">
        <w:rPr>
          <w:rStyle w:val="Refdenotaalpie"/>
          <w:rFonts w:asciiTheme="minorHAnsi" w:hAnsiTheme="minorHAnsi"/>
          <w:sz w:val="18"/>
          <w:szCs w:val="18"/>
        </w:rPr>
        <w:footnoteRef/>
      </w:r>
      <w:r w:rsidRPr="00AF31B3">
        <w:rPr>
          <w:rFonts w:asciiTheme="minorHAnsi" w:hAnsiTheme="minorHAnsi"/>
          <w:sz w:val="18"/>
          <w:szCs w:val="18"/>
        </w:rPr>
        <w:tab/>
        <w:t>Comité de Supervisión Bancaria de Basilea. Principios para la Sana Gestión del Riesgo Operativo. 2011.</w:t>
      </w:r>
    </w:p>
  </w:footnote>
  <w:footnote w:id="3">
    <w:p w:rsidR="00696E40" w:rsidRPr="00B86C27" w:rsidRDefault="00696E40" w:rsidP="00696E40">
      <w:pPr>
        <w:pStyle w:val="Textonotapie"/>
        <w:rPr>
          <w:lang w:val="en-US"/>
        </w:rPr>
      </w:pPr>
      <w:r w:rsidRPr="00AF31B3">
        <w:rPr>
          <w:rStyle w:val="Refdenotaalpie"/>
          <w:rFonts w:asciiTheme="minorHAnsi" w:hAnsiTheme="minorHAnsi"/>
          <w:sz w:val="18"/>
          <w:szCs w:val="18"/>
        </w:rPr>
        <w:footnoteRef/>
      </w:r>
      <w:r w:rsidRPr="00AF31B3">
        <w:rPr>
          <w:rFonts w:asciiTheme="minorHAnsi" w:hAnsiTheme="minorHAnsi"/>
          <w:sz w:val="18"/>
          <w:szCs w:val="18"/>
        </w:rPr>
        <w:tab/>
        <w:t>Adaptado de David Pacheco López. Superintendencia de Bancos e Instituciones Financieras de Chile. Riesgo Operacional: Conceptos y Mediciones. Santiago de Chile, Agosto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90419"/>
    <w:multiLevelType w:val="multilevel"/>
    <w:tmpl w:val="C4520404"/>
    <w:lvl w:ilvl="0">
      <w:start w:val="1"/>
      <w:numFmt w:val="decimal"/>
      <w:suff w:val="space"/>
      <w:lvlText w:val="Pregunt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0"/>
    <w:rsid w:val="00310FC2"/>
    <w:rsid w:val="00340CB7"/>
    <w:rsid w:val="005377EF"/>
    <w:rsid w:val="005B4E69"/>
    <w:rsid w:val="00660C95"/>
    <w:rsid w:val="00696E40"/>
    <w:rsid w:val="008E491D"/>
    <w:rsid w:val="009A3132"/>
    <w:rsid w:val="00AF31B3"/>
    <w:rsid w:val="00B43412"/>
    <w:rsid w:val="00DE6AEB"/>
    <w:rsid w:val="00EE1B9A"/>
    <w:rsid w:val="00F6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9437-46D4-427F-B68B-31EF039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40"/>
    <w:pPr>
      <w:spacing w:before="120" w:after="120" w:line="240" w:lineRule="auto"/>
      <w:jc w:val="both"/>
    </w:pPr>
    <w:rPr>
      <w:rFonts w:ascii="Garamond" w:hAnsi="Garamond" w:cs="Times New Roman"/>
      <w:sz w:val="24"/>
      <w:szCs w:val="24"/>
      <w:lang w:val="es-MX" w:eastAsia="zh-CN"/>
    </w:rPr>
  </w:style>
  <w:style w:type="paragraph" w:styleId="Ttulo1">
    <w:name w:val="heading 1"/>
    <w:basedOn w:val="Normal"/>
    <w:next w:val="Normal"/>
    <w:link w:val="Ttulo1Car"/>
    <w:autoRedefine/>
    <w:uiPriority w:val="9"/>
    <w:qFormat/>
    <w:rsid w:val="00F63892"/>
    <w:pPr>
      <w:keepNext/>
      <w:keepLines/>
      <w:spacing w:before="0" w:after="0"/>
      <w:jc w:val="left"/>
      <w:outlineLvl w:val="0"/>
    </w:pPr>
    <w:rPr>
      <w:rFonts w:asciiTheme="minorHAnsi" w:eastAsiaTheme="majorEastAsia" w:hAnsiTheme="minorHAnsi" w:cstheme="majorBidi"/>
      <w:b/>
      <w:bCs/>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3892"/>
    <w:rPr>
      <w:rFonts w:eastAsiaTheme="majorEastAsia" w:cstheme="majorBidi"/>
      <w:b/>
      <w:bCs/>
      <w:lang w:val="es-ES_tradnl"/>
    </w:rPr>
  </w:style>
  <w:style w:type="paragraph" w:styleId="Textonotapie">
    <w:name w:val="footnote text"/>
    <w:basedOn w:val="Normal"/>
    <w:link w:val="TextonotapieCar"/>
    <w:uiPriority w:val="99"/>
    <w:unhideWhenUsed/>
    <w:rsid w:val="00696E40"/>
    <w:pPr>
      <w:ind w:left="432" w:hanging="432"/>
    </w:pPr>
    <w:rPr>
      <w:sz w:val="20"/>
    </w:rPr>
  </w:style>
  <w:style w:type="character" w:customStyle="1" w:styleId="TextonotapieCar">
    <w:name w:val="Texto nota pie Car"/>
    <w:basedOn w:val="Fuentedeprrafopredeter"/>
    <w:link w:val="Textonotapie"/>
    <w:uiPriority w:val="99"/>
    <w:rsid w:val="00696E40"/>
    <w:rPr>
      <w:rFonts w:ascii="Garamond" w:hAnsi="Garamond" w:cs="Times New Roman"/>
      <w:sz w:val="20"/>
      <w:szCs w:val="24"/>
      <w:lang w:val="es-MX" w:eastAsia="zh-CN"/>
    </w:rPr>
  </w:style>
  <w:style w:type="paragraph" w:styleId="Puesto">
    <w:name w:val="Title"/>
    <w:basedOn w:val="Normal"/>
    <w:next w:val="Normal"/>
    <w:link w:val="PuestoCar"/>
    <w:uiPriority w:val="10"/>
    <w:qFormat/>
    <w:rsid w:val="00696E40"/>
    <w:pPr>
      <w:pBdr>
        <w:bottom w:val="single" w:sz="8" w:space="4" w:color="auto"/>
      </w:pBdr>
      <w:spacing w:before="0" w:after="300"/>
      <w:contextualSpacing/>
    </w:pPr>
    <w:rPr>
      <w:rFonts w:eastAsiaTheme="majorEastAsia" w:cstheme="majorBidi"/>
      <w:color w:val="323E4F" w:themeColor="text2" w:themeShade="BF"/>
      <w:spacing w:val="5"/>
      <w:kern w:val="28"/>
      <w:sz w:val="28"/>
      <w:szCs w:val="52"/>
    </w:rPr>
  </w:style>
  <w:style w:type="character" w:customStyle="1" w:styleId="PuestoCar">
    <w:name w:val="Puesto Car"/>
    <w:basedOn w:val="Fuentedeprrafopredeter"/>
    <w:link w:val="Puesto"/>
    <w:uiPriority w:val="10"/>
    <w:rsid w:val="00696E40"/>
    <w:rPr>
      <w:rFonts w:ascii="Garamond" w:eastAsiaTheme="majorEastAsia" w:hAnsi="Garamond" w:cstheme="majorBidi"/>
      <w:color w:val="323E4F" w:themeColor="text2" w:themeShade="BF"/>
      <w:spacing w:val="5"/>
      <w:kern w:val="28"/>
      <w:sz w:val="28"/>
      <w:szCs w:val="52"/>
      <w:lang w:val="es-MX" w:eastAsia="zh-CN"/>
    </w:rPr>
  </w:style>
  <w:style w:type="paragraph" w:styleId="Prrafodelista">
    <w:name w:val="List Paragraph"/>
    <w:basedOn w:val="Normal"/>
    <w:uiPriority w:val="34"/>
    <w:qFormat/>
    <w:rsid w:val="00696E40"/>
    <w:pPr>
      <w:ind w:left="720"/>
      <w:contextualSpacing/>
    </w:pPr>
  </w:style>
  <w:style w:type="character" w:styleId="Refdenotaalpie">
    <w:name w:val="footnote reference"/>
    <w:basedOn w:val="Fuentedeprrafopredeter"/>
    <w:uiPriority w:val="99"/>
    <w:unhideWhenUsed/>
    <w:rsid w:val="00696E40"/>
    <w:rPr>
      <w:vertAlign w:val="superscript"/>
    </w:rPr>
  </w:style>
  <w:style w:type="table" w:styleId="Tablaconcuadrcula">
    <w:name w:val="Table Grid"/>
    <w:basedOn w:val="Tablanormal"/>
    <w:uiPriority w:val="59"/>
    <w:rsid w:val="00696E4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696E40"/>
    <w:pPr>
      <w:widowControl w:val="0"/>
      <w:autoSpaceDE w:val="0"/>
      <w:autoSpaceDN w:val="0"/>
      <w:adjustRightInd w:val="0"/>
      <w:spacing w:after="0" w:line="240" w:lineRule="auto"/>
    </w:pPr>
    <w:rPr>
      <w:rFonts w:ascii="Helvetica" w:eastAsia="Times New Roman" w:hAnsi="Helvetica" w:cs="Helvetica"/>
      <w:sz w:val="24"/>
      <w:szCs w:val="24"/>
    </w:rPr>
  </w:style>
  <w:style w:type="character" w:styleId="Hipervnculo">
    <w:name w:val="Hyperlink"/>
    <w:basedOn w:val="Fuentedeprrafopredeter"/>
    <w:uiPriority w:val="99"/>
    <w:unhideWhenUsed/>
    <w:rsid w:val="00696E40"/>
    <w:rPr>
      <w:color w:val="0563C1" w:themeColor="hyperlink"/>
      <w:u w:val="single"/>
    </w:rPr>
  </w:style>
  <w:style w:type="paragraph" w:styleId="Encabezado">
    <w:name w:val="header"/>
    <w:basedOn w:val="Normal"/>
    <w:link w:val="EncabezadoCar"/>
    <w:uiPriority w:val="99"/>
    <w:unhideWhenUsed/>
    <w:rsid w:val="00F63892"/>
    <w:pPr>
      <w:tabs>
        <w:tab w:val="center" w:pos="4680"/>
        <w:tab w:val="right" w:pos="9360"/>
      </w:tabs>
      <w:spacing w:before="0" w:after="0"/>
    </w:pPr>
  </w:style>
  <w:style w:type="character" w:customStyle="1" w:styleId="EncabezadoCar">
    <w:name w:val="Encabezado Car"/>
    <w:basedOn w:val="Fuentedeprrafopredeter"/>
    <w:link w:val="Encabezado"/>
    <w:uiPriority w:val="99"/>
    <w:rsid w:val="00F63892"/>
    <w:rPr>
      <w:rFonts w:ascii="Garamond" w:hAnsi="Garamond" w:cs="Times New Roman"/>
      <w:sz w:val="24"/>
      <w:szCs w:val="24"/>
      <w:lang w:val="es-MX" w:eastAsia="zh-CN"/>
    </w:rPr>
  </w:style>
  <w:style w:type="paragraph" w:styleId="Piedepgina">
    <w:name w:val="footer"/>
    <w:basedOn w:val="Normal"/>
    <w:link w:val="PiedepginaCar"/>
    <w:uiPriority w:val="99"/>
    <w:unhideWhenUsed/>
    <w:rsid w:val="00F63892"/>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F63892"/>
    <w:rPr>
      <w:rFonts w:ascii="Garamond" w:hAnsi="Garamond" w:cs="Times New Roman"/>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kmiranda@conami.gob.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rreo@conami.gob.n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1238</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Cuadra López</dc:creator>
  <cp:keywords/>
  <dc:description/>
  <cp:lastModifiedBy>Fanny Cuadra López</cp:lastModifiedBy>
  <cp:revision>7</cp:revision>
  <dcterms:created xsi:type="dcterms:W3CDTF">2015-11-12T21:21:00Z</dcterms:created>
  <dcterms:modified xsi:type="dcterms:W3CDTF">2015-11-12T21:55:00Z</dcterms:modified>
</cp:coreProperties>
</file>