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53" w:rsidRPr="00E07005" w:rsidRDefault="00E67453" w:rsidP="00E67453">
      <w:pPr>
        <w:pStyle w:val="Puesto"/>
        <w:jc w:val="center"/>
        <w:rPr>
          <w:rFonts w:asciiTheme="minorHAnsi" w:hAnsiTheme="minorHAnsi"/>
          <w:b/>
          <w:szCs w:val="28"/>
          <w:lang w:val="es-ES_tradnl" w:eastAsia="en-US"/>
        </w:rPr>
      </w:pPr>
      <w:bookmarkStart w:id="0" w:name="_GoBack"/>
      <w:bookmarkEnd w:id="0"/>
      <w:r w:rsidRPr="00E07005">
        <w:rPr>
          <w:rFonts w:asciiTheme="minorHAnsi" w:hAnsiTheme="minorHAnsi"/>
          <w:b/>
          <w:szCs w:val="28"/>
          <w:lang w:val="es-ES_tradnl" w:eastAsia="en-US"/>
        </w:rPr>
        <w:t>CUESTIONARIO SOBRE GESTIÓN DE RIESGO DE LIQUIDEZ</w:t>
      </w:r>
    </w:p>
    <w:p w:rsidR="00E67453" w:rsidRPr="00AF28F0" w:rsidRDefault="00E67453" w:rsidP="00AF28F0">
      <w:pPr>
        <w:pStyle w:val="Ttulo1"/>
      </w:pPr>
      <w:r w:rsidRPr="00AF28F0">
        <w:t>INTRODUCCIÓN</w:t>
      </w:r>
    </w:p>
    <w:p w:rsidR="00E67453" w:rsidRPr="00AF28F0" w:rsidRDefault="00E67453" w:rsidP="00E67453">
      <w:pPr>
        <w:rPr>
          <w:rFonts w:asciiTheme="minorHAnsi" w:hAnsiTheme="minorHAnsi"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sz w:val="22"/>
          <w:szCs w:val="22"/>
          <w:lang w:val="es-ES_tradnl" w:eastAsia="en-US"/>
        </w:rPr>
        <w:t xml:space="preserve">Aun cuando la Comisión Nacional de </w:t>
      </w:r>
      <w:proofErr w:type="spellStart"/>
      <w:r w:rsidRPr="00AF28F0">
        <w:rPr>
          <w:rFonts w:asciiTheme="minorHAnsi" w:hAnsiTheme="minorHAnsi"/>
          <w:sz w:val="22"/>
          <w:szCs w:val="22"/>
          <w:lang w:val="es-ES_tradnl" w:eastAsia="en-US"/>
        </w:rPr>
        <w:t>Microfinanzas</w:t>
      </w:r>
      <w:proofErr w:type="spellEnd"/>
      <w:r w:rsidRPr="00AF28F0">
        <w:rPr>
          <w:rFonts w:asciiTheme="minorHAnsi" w:hAnsiTheme="minorHAnsi"/>
          <w:sz w:val="22"/>
          <w:szCs w:val="22"/>
          <w:lang w:val="es-ES_tradnl" w:eastAsia="en-US"/>
        </w:rPr>
        <w:t xml:space="preserve"> (CONAMI) no ha emitido una norma que estipule los lineamientos para la gestión del riesgo de liquidez en las </w:t>
      </w:r>
      <w:r w:rsidR="00D078AE">
        <w:rPr>
          <w:rFonts w:asciiTheme="minorHAnsi" w:hAnsiTheme="minorHAnsi"/>
          <w:sz w:val="22"/>
          <w:szCs w:val="22"/>
          <w:lang w:val="es-ES_tradnl" w:eastAsia="en-US"/>
        </w:rPr>
        <w:t>I</w:t>
      </w:r>
      <w:r w:rsidRPr="00AF28F0">
        <w:rPr>
          <w:rFonts w:asciiTheme="minorHAnsi" w:hAnsiTheme="minorHAnsi"/>
          <w:sz w:val="22"/>
          <w:szCs w:val="22"/>
          <w:lang w:val="es-ES_tradnl" w:eastAsia="en-US"/>
        </w:rPr>
        <w:t xml:space="preserve">nstituciones de </w:t>
      </w:r>
      <w:proofErr w:type="spellStart"/>
      <w:r w:rsidR="00D078AE">
        <w:rPr>
          <w:rFonts w:asciiTheme="minorHAnsi" w:hAnsiTheme="minorHAnsi"/>
          <w:sz w:val="22"/>
          <w:szCs w:val="22"/>
          <w:lang w:val="es-ES_tradnl" w:eastAsia="en-US"/>
        </w:rPr>
        <w:t>M</w:t>
      </w:r>
      <w:r w:rsidRPr="00AF28F0">
        <w:rPr>
          <w:rFonts w:asciiTheme="minorHAnsi" w:hAnsiTheme="minorHAnsi"/>
          <w:sz w:val="22"/>
          <w:szCs w:val="22"/>
          <w:lang w:val="es-ES_tradnl" w:eastAsia="en-US"/>
        </w:rPr>
        <w:t>icrofinanzas</w:t>
      </w:r>
      <w:proofErr w:type="spellEnd"/>
      <w:r w:rsidRPr="00AF28F0">
        <w:rPr>
          <w:rFonts w:asciiTheme="minorHAnsi" w:hAnsiTheme="minorHAnsi"/>
          <w:sz w:val="22"/>
          <w:szCs w:val="22"/>
          <w:lang w:val="es-ES_tradnl" w:eastAsia="en-US"/>
        </w:rPr>
        <w:t xml:space="preserve"> que regula, es muy probable que la IMF a su cargo tenga aprobadas políticas en relación a la administración de ese riesgo.</w:t>
      </w:r>
    </w:p>
    <w:p w:rsidR="00E67453" w:rsidRPr="00AF28F0" w:rsidRDefault="00E67453" w:rsidP="00E67453">
      <w:pPr>
        <w:rPr>
          <w:rFonts w:asciiTheme="minorHAnsi" w:hAnsiTheme="minorHAnsi"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sz w:val="22"/>
          <w:szCs w:val="22"/>
          <w:lang w:val="es-ES_tradnl" w:eastAsia="en-US"/>
        </w:rPr>
        <w:t>Este cuestionario tiene el propósito de conocer los enfoques que el sector de IMF está adoptando en este campo</w:t>
      </w:r>
      <w:r w:rsidR="003D4CC2" w:rsidRPr="00AF28F0">
        <w:rPr>
          <w:rFonts w:asciiTheme="minorHAnsi" w:hAnsiTheme="minorHAnsi"/>
          <w:sz w:val="22"/>
          <w:szCs w:val="22"/>
          <w:lang w:val="es-ES_tradnl" w:eastAsia="en-US"/>
        </w:rPr>
        <w:t>.  P</w:t>
      </w:r>
      <w:r w:rsidRPr="00AF28F0">
        <w:rPr>
          <w:rFonts w:asciiTheme="minorHAnsi" w:hAnsiTheme="minorHAnsi"/>
          <w:sz w:val="22"/>
          <w:szCs w:val="22"/>
          <w:lang w:val="es-ES_tradnl" w:eastAsia="en-US"/>
        </w:rPr>
        <w:t xml:space="preserve">ara una mejor compresión del cuestionario se adjunta un glosario de términos. </w:t>
      </w:r>
    </w:p>
    <w:p w:rsidR="00E67453" w:rsidRPr="00AF28F0" w:rsidRDefault="00E67453" w:rsidP="00E67453">
      <w:pPr>
        <w:rPr>
          <w:rFonts w:asciiTheme="minorHAnsi" w:hAnsiTheme="minorHAnsi"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sz w:val="22"/>
          <w:szCs w:val="22"/>
          <w:lang w:val="es-ES_tradnl" w:eastAsia="en-US"/>
        </w:rPr>
        <w:t>El diagnóstico resultante permitirá a la CONAMI preparar una norma sobre gestión de riesgo de liquidez adecuada a la realidad de las IMF, a las condiciones del mercado y a las mejores prácticas de instituciones financieras con similar perfil.</w:t>
      </w:r>
    </w:p>
    <w:p w:rsidR="00E67453" w:rsidRPr="00AF28F0" w:rsidRDefault="00E67453" w:rsidP="00AF28F0">
      <w:pPr>
        <w:pStyle w:val="Ttulo1"/>
      </w:pPr>
      <w:r w:rsidRPr="00AF28F0">
        <w:t>GLOSARIO</w:t>
      </w:r>
    </w:p>
    <w:p w:rsidR="00E67453" w:rsidRPr="00AF28F0" w:rsidRDefault="00E67453" w:rsidP="00E67453">
      <w:pPr>
        <w:rPr>
          <w:rFonts w:asciiTheme="minorHAnsi" w:hAnsiTheme="minorHAnsi"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b/>
          <w:sz w:val="22"/>
          <w:szCs w:val="22"/>
          <w:lang w:val="es-ES_tradnl" w:eastAsia="en-US"/>
        </w:rPr>
        <w:t>Riesgo de liquidez</w:t>
      </w:r>
      <w:r w:rsidRPr="00AF28F0">
        <w:rPr>
          <w:rFonts w:asciiTheme="minorHAnsi" w:hAnsiTheme="minorHAnsi"/>
          <w:sz w:val="22"/>
          <w:szCs w:val="22"/>
          <w:lang w:val="es-ES_tradnl" w:eastAsia="en-US"/>
        </w:rPr>
        <w:t>: Probabilidad de incurrir en pérdidas por no disponer de recursos líquidos suficientes para cumplir con las obligaciones de desembolso comprometidas en un horizonte temporal determinado.</w:t>
      </w:r>
    </w:p>
    <w:p w:rsidR="00E67453" w:rsidRPr="00AF28F0" w:rsidRDefault="00E67453" w:rsidP="00E67453">
      <w:pPr>
        <w:rPr>
          <w:rFonts w:asciiTheme="minorHAnsi" w:hAnsiTheme="minorHAnsi"/>
          <w:sz w:val="22"/>
          <w:szCs w:val="22"/>
        </w:rPr>
      </w:pPr>
      <w:r w:rsidRPr="00AF28F0">
        <w:rPr>
          <w:rFonts w:asciiTheme="minorHAnsi" w:hAnsiTheme="minorHAnsi"/>
          <w:b/>
          <w:sz w:val="22"/>
          <w:szCs w:val="22"/>
        </w:rPr>
        <w:t>Gestión de riesgo</w:t>
      </w:r>
      <w:r w:rsidRPr="00AF28F0">
        <w:rPr>
          <w:rFonts w:asciiTheme="minorHAnsi" w:hAnsiTheme="minorHAnsi"/>
          <w:b/>
          <w:sz w:val="22"/>
          <w:szCs w:val="22"/>
          <w:lang w:val="es-ES_tradnl" w:eastAsia="en-US"/>
        </w:rPr>
        <w:t xml:space="preserve"> de liquidez</w:t>
      </w:r>
      <w:r w:rsidRPr="00AF28F0">
        <w:rPr>
          <w:rFonts w:asciiTheme="minorHAnsi" w:hAnsiTheme="minorHAnsi"/>
          <w:sz w:val="22"/>
          <w:szCs w:val="22"/>
        </w:rPr>
        <w:t xml:space="preserve">: Proceso de identificación, análisis y cuantificación de la probabilidad de pérdidas y efectos secundarios que se desprenden de eventos de riesgo </w:t>
      </w:r>
      <w:r w:rsidRPr="00AF28F0">
        <w:rPr>
          <w:rFonts w:asciiTheme="minorHAnsi" w:hAnsiTheme="minorHAnsi"/>
          <w:sz w:val="22"/>
          <w:szCs w:val="22"/>
          <w:lang w:val="es-ES_tradnl" w:eastAsia="en-US"/>
        </w:rPr>
        <w:t>de liquidez</w:t>
      </w:r>
      <w:r w:rsidRPr="00AF28F0">
        <w:rPr>
          <w:rFonts w:asciiTheme="minorHAnsi" w:hAnsiTheme="minorHAnsi"/>
          <w:sz w:val="22"/>
          <w:szCs w:val="22"/>
        </w:rPr>
        <w:t>, así como de las acciones preventivas, correctivas y mitigadoras correspondientes.</w:t>
      </w:r>
    </w:p>
    <w:p w:rsidR="00E67453" w:rsidRPr="00AF28F0" w:rsidRDefault="00E67453" w:rsidP="00E67453">
      <w:pPr>
        <w:rPr>
          <w:rFonts w:asciiTheme="minorHAnsi" w:hAnsiTheme="minorHAnsi"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b/>
          <w:sz w:val="22"/>
          <w:szCs w:val="22"/>
          <w:lang w:val="es-ES_tradnl" w:eastAsia="en-US"/>
        </w:rPr>
        <w:t>Requerimientos de liquidez</w:t>
      </w:r>
      <w:r w:rsidRPr="00AF28F0">
        <w:rPr>
          <w:rFonts w:asciiTheme="minorHAnsi" w:hAnsiTheme="minorHAnsi"/>
          <w:sz w:val="22"/>
          <w:szCs w:val="22"/>
          <w:lang w:val="es-ES_tradnl" w:eastAsia="en-US"/>
        </w:rPr>
        <w:t>: Obligaciones de desembolso de fondos por créditos aprobados, desembolsos por créditos programados, cancelación de pasivos financieros y no financieros, erogaciones por gastos asociados al giro ordinario, tales como sueldos y salarios, bienes y servicios, entre otros.</w:t>
      </w:r>
    </w:p>
    <w:p w:rsidR="00E67453" w:rsidRPr="00AF28F0" w:rsidRDefault="00E67453" w:rsidP="00E67453">
      <w:pPr>
        <w:rPr>
          <w:rFonts w:asciiTheme="minorHAnsi" w:hAnsiTheme="minorHAnsi"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b/>
          <w:sz w:val="22"/>
          <w:szCs w:val="22"/>
        </w:rPr>
        <w:t>Horizonte temporal</w:t>
      </w:r>
      <w:r w:rsidRPr="00AF28F0">
        <w:rPr>
          <w:rFonts w:asciiTheme="minorHAnsi" w:hAnsiTheme="minorHAnsi"/>
          <w:sz w:val="22"/>
          <w:szCs w:val="22"/>
        </w:rPr>
        <w:t>: Período de tiempo considerado en los análisis de escenarios futuros.</w:t>
      </w:r>
    </w:p>
    <w:p w:rsidR="00E67453" w:rsidRPr="00AF28F0" w:rsidRDefault="00E67453" w:rsidP="00E67453">
      <w:pPr>
        <w:rPr>
          <w:rFonts w:asciiTheme="minorHAnsi" w:hAnsiTheme="minorHAnsi"/>
          <w:i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b/>
          <w:sz w:val="22"/>
          <w:szCs w:val="22"/>
          <w:lang w:val="es-ES_tradnl" w:eastAsia="en-US"/>
        </w:rPr>
        <w:t>Escenario de baja liquidez</w:t>
      </w:r>
      <w:r w:rsidRPr="00AF28F0">
        <w:rPr>
          <w:rFonts w:asciiTheme="minorHAnsi" w:hAnsiTheme="minorHAnsi"/>
          <w:sz w:val="22"/>
          <w:szCs w:val="22"/>
          <w:lang w:val="es-ES_tradnl" w:eastAsia="en-US"/>
        </w:rPr>
        <w:t>: “</w:t>
      </w:r>
      <w:r w:rsidRPr="00AF28F0">
        <w:rPr>
          <w:rFonts w:asciiTheme="minorHAnsi" w:hAnsiTheme="minorHAnsi"/>
          <w:i/>
          <w:sz w:val="22"/>
          <w:szCs w:val="22"/>
          <w:lang w:val="es-ES_tradnl" w:eastAsia="en-US"/>
        </w:rPr>
        <w:t>Es el cual en el que se presentan, a nivel individual o en el conjunto del mercado una o varias de estas condiciones:</w:t>
      </w:r>
    </w:p>
    <w:p w:rsidR="00E67453" w:rsidRPr="00AF28F0" w:rsidRDefault="00E67453" w:rsidP="00E67453">
      <w:pPr>
        <w:pStyle w:val="Prrafodelista"/>
        <w:numPr>
          <w:ilvl w:val="0"/>
          <w:numId w:val="2"/>
        </w:numPr>
        <w:rPr>
          <w:rFonts w:asciiTheme="minorHAnsi" w:hAnsiTheme="minorHAnsi"/>
          <w:i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i/>
          <w:sz w:val="22"/>
          <w:szCs w:val="22"/>
          <w:lang w:val="es-ES_tradnl" w:eastAsia="en-US"/>
        </w:rPr>
        <w:t>Desaparición de parte de los depósitos minoristas;</w:t>
      </w:r>
    </w:p>
    <w:p w:rsidR="00E67453" w:rsidRPr="00AF28F0" w:rsidRDefault="00E67453" w:rsidP="00E67453">
      <w:pPr>
        <w:pStyle w:val="Prrafodelista"/>
        <w:numPr>
          <w:ilvl w:val="0"/>
          <w:numId w:val="2"/>
        </w:numPr>
        <w:rPr>
          <w:rFonts w:asciiTheme="minorHAnsi" w:hAnsiTheme="minorHAnsi"/>
          <w:i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i/>
          <w:sz w:val="22"/>
          <w:szCs w:val="22"/>
          <w:lang w:val="es-ES_tradnl" w:eastAsia="en-US"/>
        </w:rPr>
        <w:t>Pérdida parcial de la capacidad de financiación no garantizada en los mercados mayoristas;</w:t>
      </w:r>
    </w:p>
    <w:p w:rsidR="00E67453" w:rsidRPr="00AF28F0" w:rsidRDefault="00E67453" w:rsidP="00E67453">
      <w:pPr>
        <w:pStyle w:val="Prrafodelista"/>
        <w:numPr>
          <w:ilvl w:val="0"/>
          <w:numId w:val="2"/>
        </w:numPr>
        <w:rPr>
          <w:rFonts w:asciiTheme="minorHAnsi" w:hAnsiTheme="minorHAnsi"/>
          <w:i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i/>
          <w:sz w:val="22"/>
          <w:szCs w:val="22"/>
          <w:lang w:val="es-ES_tradnl" w:eastAsia="en-US"/>
        </w:rPr>
        <w:t>Pérdida parcial de la financiación garantizada a corto plazo con ciertas garantías y contrapartes;</w:t>
      </w:r>
    </w:p>
    <w:p w:rsidR="00E67453" w:rsidRPr="00AF28F0" w:rsidRDefault="00E67453" w:rsidP="00E67453">
      <w:pPr>
        <w:pStyle w:val="Prrafodelista"/>
        <w:numPr>
          <w:ilvl w:val="0"/>
          <w:numId w:val="2"/>
        </w:numPr>
        <w:rPr>
          <w:rFonts w:asciiTheme="minorHAnsi" w:hAnsiTheme="minorHAnsi"/>
          <w:i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i/>
          <w:sz w:val="22"/>
          <w:szCs w:val="22"/>
          <w:lang w:val="es-ES_tradnl" w:eastAsia="en-US"/>
        </w:rPr>
        <w:t>Salidas adicionales de índole contractual por la rebaja de la calificación crediticia pública del banco de hasta tres escalones, incluida la exigencia de aportación de garantías;</w:t>
      </w:r>
    </w:p>
    <w:p w:rsidR="00E67453" w:rsidRPr="00AF28F0" w:rsidRDefault="00E67453" w:rsidP="00E67453">
      <w:pPr>
        <w:pStyle w:val="Prrafodelista"/>
        <w:numPr>
          <w:ilvl w:val="0"/>
          <w:numId w:val="2"/>
        </w:numPr>
        <w:rPr>
          <w:rFonts w:asciiTheme="minorHAnsi" w:hAnsiTheme="minorHAnsi"/>
          <w:i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i/>
          <w:sz w:val="22"/>
          <w:szCs w:val="22"/>
          <w:lang w:val="es-ES_tradnl" w:eastAsia="en-US"/>
        </w:rPr>
        <w:t xml:space="preserve">Aumentos de las volatilidades de mercado que afectan a la calidad de las garantías o a posibles exposiciones futuras a derivados y que, por tanto, exigen la aplicación de mayores descuentos en las garantías o la aportación de garantías adicionales, o bien conllevan otras necesidades de liquidez; </w:t>
      </w:r>
    </w:p>
    <w:p w:rsidR="00E67453" w:rsidRPr="00AF28F0" w:rsidRDefault="00E67453" w:rsidP="00E67453">
      <w:pPr>
        <w:pStyle w:val="Prrafodelista"/>
        <w:numPr>
          <w:ilvl w:val="0"/>
          <w:numId w:val="2"/>
        </w:numPr>
        <w:rPr>
          <w:rFonts w:asciiTheme="minorHAnsi" w:hAnsiTheme="minorHAnsi"/>
          <w:i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i/>
          <w:sz w:val="22"/>
          <w:szCs w:val="22"/>
          <w:lang w:val="es-ES_tradnl" w:eastAsia="en-US"/>
        </w:rPr>
        <w:t xml:space="preserve">Uso no programado de facilidades de crédito y de liquidez comprometidas pero no utilizadas que el banco ha concedido a sus clientes; y </w:t>
      </w:r>
    </w:p>
    <w:p w:rsidR="00E67453" w:rsidRPr="00AF28F0" w:rsidRDefault="00E67453" w:rsidP="00E67453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i/>
          <w:sz w:val="22"/>
          <w:szCs w:val="22"/>
          <w:lang w:val="es-ES_tradnl" w:eastAsia="en-US"/>
        </w:rPr>
        <w:lastRenderedPageBreak/>
        <w:t>Posible necesidad de que el banco recompre deuda o cumpla con obligaciones extracontractuales con la finalidad de reducir el riesgo de reputación</w:t>
      </w:r>
      <w:r w:rsidRPr="00AF28F0">
        <w:rPr>
          <w:rFonts w:asciiTheme="minorHAnsi" w:hAnsiTheme="minorHAnsi"/>
          <w:sz w:val="22"/>
          <w:szCs w:val="22"/>
          <w:lang w:val="es-ES_tradnl" w:eastAsia="en-US"/>
        </w:rPr>
        <w:t>.”</w:t>
      </w:r>
      <w:r w:rsidRPr="00AF28F0">
        <w:rPr>
          <w:rStyle w:val="Refdenotaalpie"/>
          <w:rFonts w:asciiTheme="minorHAnsi" w:hAnsiTheme="minorHAnsi"/>
          <w:sz w:val="22"/>
          <w:szCs w:val="22"/>
          <w:lang w:val="es-ES_tradnl" w:eastAsia="en-US"/>
        </w:rPr>
        <w:footnoteReference w:id="1"/>
      </w:r>
    </w:p>
    <w:p w:rsidR="00E67453" w:rsidRPr="00AF28F0" w:rsidRDefault="00E67453" w:rsidP="00E67453">
      <w:pPr>
        <w:rPr>
          <w:rFonts w:asciiTheme="minorHAnsi" w:hAnsiTheme="minorHAnsi"/>
          <w:sz w:val="22"/>
          <w:szCs w:val="22"/>
          <w:lang w:val="es-ES_tradnl" w:eastAsia="en-US"/>
        </w:rPr>
      </w:pPr>
    </w:p>
    <w:p w:rsidR="00E67453" w:rsidRPr="00AF28F0" w:rsidRDefault="00E67453" w:rsidP="00E67453">
      <w:pPr>
        <w:rPr>
          <w:rFonts w:asciiTheme="minorHAnsi" w:hAnsiTheme="minorHAnsi"/>
          <w:b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b/>
          <w:sz w:val="22"/>
          <w:szCs w:val="22"/>
          <w:lang w:val="es-ES_tradnl" w:eastAsia="en-US"/>
        </w:rPr>
        <w:t>CUESTIONARIO</w:t>
      </w:r>
    </w:p>
    <w:p w:rsidR="00E67453" w:rsidRPr="00AF28F0" w:rsidRDefault="00E67453" w:rsidP="00E67453">
      <w:pPr>
        <w:rPr>
          <w:rFonts w:asciiTheme="minorHAnsi" w:hAnsiTheme="minorHAnsi"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sz w:val="22"/>
          <w:szCs w:val="22"/>
          <w:lang w:val="es-ES_tradnl" w:eastAsia="en-US"/>
        </w:rPr>
        <w:t>Por favor dar respuesta en un archivo Word o Excel a las siguientes preguntas. Sus respuestas serán manejadas con total discreción y sólo serán usadas para el propósito antes expuesto.</w:t>
      </w:r>
    </w:p>
    <w:p w:rsidR="00E67453" w:rsidRPr="00AF28F0" w:rsidRDefault="00E67453" w:rsidP="00E67453">
      <w:pPr>
        <w:pStyle w:val="Prrafodelista"/>
        <w:numPr>
          <w:ilvl w:val="0"/>
          <w:numId w:val="1"/>
        </w:numPr>
        <w:contextualSpacing w:val="0"/>
        <w:rPr>
          <w:rFonts w:asciiTheme="minorHAnsi" w:hAnsiTheme="minorHAnsi"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sz w:val="22"/>
          <w:szCs w:val="22"/>
          <w:lang w:val="es-ES_tradnl" w:eastAsia="en-US"/>
        </w:rPr>
        <w:t>¿Tiene aprobada la IMF políticas, lineamientos, procedimientos, estrategias o normas internas para la gestión del riesgo de liquidez? Explique indicando instancia y fecha de aprobación. Si son varias, detalle cada una.</w:t>
      </w:r>
    </w:p>
    <w:p w:rsidR="00E67453" w:rsidRPr="00AF28F0" w:rsidRDefault="00E67453" w:rsidP="00E67453">
      <w:pPr>
        <w:pStyle w:val="Prrafodelista"/>
        <w:numPr>
          <w:ilvl w:val="0"/>
          <w:numId w:val="1"/>
        </w:numPr>
        <w:contextualSpacing w:val="0"/>
        <w:rPr>
          <w:rFonts w:asciiTheme="minorHAnsi" w:hAnsiTheme="minorHAnsi"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sz w:val="22"/>
          <w:szCs w:val="22"/>
          <w:lang w:val="es-ES_tradnl" w:eastAsia="en-US"/>
        </w:rPr>
        <w:t>¿Quién es el responsable de la gestión del riesgo de liquidez?</w:t>
      </w:r>
    </w:p>
    <w:p w:rsidR="00E67453" w:rsidRPr="00AF28F0" w:rsidRDefault="00E67453" w:rsidP="00E67453">
      <w:pPr>
        <w:pStyle w:val="Prrafodelista"/>
        <w:numPr>
          <w:ilvl w:val="0"/>
          <w:numId w:val="1"/>
        </w:numPr>
        <w:contextualSpacing w:val="0"/>
        <w:rPr>
          <w:rFonts w:asciiTheme="minorHAnsi" w:hAnsiTheme="minorHAnsi"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sz w:val="22"/>
          <w:szCs w:val="22"/>
          <w:lang w:val="es-ES_tradnl" w:eastAsia="en-US"/>
        </w:rPr>
        <w:t>¿Cómo se vigila el riesgo de liquidez?</w:t>
      </w:r>
    </w:p>
    <w:p w:rsidR="00E67453" w:rsidRPr="00AF28F0" w:rsidRDefault="00E67453" w:rsidP="00E67453">
      <w:pPr>
        <w:pStyle w:val="Prrafodelista"/>
        <w:numPr>
          <w:ilvl w:val="0"/>
          <w:numId w:val="1"/>
        </w:numPr>
        <w:contextualSpacing w:val="0"/>
        <w:rPr>
          <w:rFonts w:asciiTheme="minorHAnsi" w:hAnsiTheme="minorHAnsi"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sz w:val="22"/>
          <w:szCs w:val="22"/>
          <w:lang w:val="es-ES_tradnl" w:eastAsia="en-US"/>
        </w:rPr>
        <w:t>¿Cuál es la definición de riesgo de liquidez que usa la IMF?</w:t>
      </w:r>
    </w:p>
    <w:p w:rsidR="00E67453" w:rsidRPr="00AF28F0" w:rsidRDefault="00E67453" w:rsidP="00E67453">
      <w:pPr>
        <w:pStyle w:val="Prrafodelista"/>
        <w:numPr>
          <w:ilvl w:val="0"/>
          <w:numId w:val="1"/>
        </w:numPr>
        <w:contextualSpacing w:val="0"/>
        <w:rPr>
          <w:rFonts w:asciiTheme="minorHAnsi" w:hAnsiTheme="minorHAnsi"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sz w:val="22"/>
          <w:szCs w:val="22"/>
          <w:lang w:val="es-ES_tradnl" w:eastAsia="en-US"/>
        </w:rPr>
        <w:t>¿Cómo clasifican las distintas fuentes de riesgo de liquidez?</w:t>
      </w:r>
    </w:p>
    <w:p w:rsidR="00E67453" w:rsidRPr="00AF28F0" w:rsidRDefault="00E67453" w:rsidP="00E67453">
      <w:pPr>
        <w:pStyle w:val="Prrafodelista"/>
        <w:numPr>
          <w:ilvl w:val="0"/>
          <w:numId w:val="1"/>
        </w:numPr>
        <w:contextualSpacing w:val="0"/>
        <w:rPr>
          <w:rFonts w:asciiTheme="minorHAnsi" w:hAnsiTheme="minorHAnsi"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sz w:val="22"/>
          <w:szCs w:val="22"/>
          <w:lang w:val="es-ES_tradnl" w:eastAsia="en-US"/>
        </w:rPr>
        <w:t>¿Qué métodos utiliza para cuantificar el riesgo de liquidez, tanto respecto al impacto como su probabilidad?</w:t>
      </w:r>
    </w:p>
    <w:p w:rsidR="00E67453" w:rsidRPr="00AF28F0" w:rsidRDefault="00E67453" w:rsidP="00E67453">
      <w:pPr>
        <w:pStyle w:val="Prrafodelista"/>
        <w:numPr>
          <w:ilvl w:val="0"/>
          <w:numId w:val="1"/>
        </w:numPr>
        <w:contextualSpacing w:val="0"/>
        <w:rPr>
          <w:rFonts w:asciiTheme="minorHAnsi" w:hAnsiTheme="minorHAnsi"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sz w:val="22"/>
          <w:szCs w:val="22"/>
          <w:lang w:val="es-ES_tradnl" w:eastAsia="en-US"/>
        </w:rPr>
        <w:t>¿Qué método utiliza para estimar los requerimientos de liquidez ordinarios y en situaciones de baja liquidez en el mercado?</w:t>
      </w:r>
    </w:p>
    <w:p w:rsidR="00E67453" w:rsidRPr="00AF28F0" w:rsidRDefault="00E67453" w:rsidP="00E67453">
      <w:pPr>
        <w:pStyle w:val="Prrafodelista"/>
        <w:numPr>
          <w:ilvl w:val="0"/>
          <w:numId w:val="1"/>
        </w:numPr>
        <w:contextualSpacing w:val="0"/>
        <w:rPr>
          <w:rFonts w:asciiTheme="minorHAnsi" w:hAnsiTheme="minorHAnsi"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sz w:val="22"/>
          <w:szCs w:val="22"/>
          <w:lang w:val="es-ES_tradnl" w:eastAsia="en-US"/>
        </w:rPr>
        <w:t>¿Qué horizonte temporal usa para estimar los requerimientos futuros de liquidez?</w:t>
      </w:r>
    </w:p>
    <w:p w:rsidR="00E67453" w:rsidRPr="00AF28F0" w:rsidRDefault="00E67453" w:rsidP="00E67453">
      <w:pPr>
        <w:pStyle w:val="Prrafodelista"/>
        <w:numPr>
          <w:ilvl w:val="0"/>
          <w:numId w:val="1"/>
        </w:numPr>
        <w:contextualSpacing w:val="0"/>
        <w:rPr>
          <w:rFonts w:asciiTheme="minorHAnsi" w:hAnsiTheme="minorHAnsi"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sz w:val="22"/>
          <w:szCs w:val="22"/>
          <w:lang w:val="es-ES_tradnl" w:eastAsia="en-US"/>
        </w:rPr>
        <w:t>¿Realiza su IMF ejercicios de escenarios de baja liquidez (stress)?</w:t>
      </w:r>
    </w:p>
    <w:p w:rsidR="00E67453" w:rsidRPr="00AF28F0" w:rsidRDefault="00E67453" w:rsidP="00E67453">
      <w:pPr>
        <w:pStyle w:val="Prrafodelista"/>
        <w:numPr>
          <w:ilvl w:val="0"/>
          <w:numId w:val="1"/>
        </w:numPr>
        <w:contextualSpacing w:val="0"/>
        <w:rPr>
          <w:rFonts w:asciiTheme="minorHAnsi" w:hAnsiTheme="minorHAnsi"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sz w:val="22"/>
          <w:szCs w:val="22"/>
          <w:lang w:val="es-ES_tradnl" w:eastAsia="en-US"/>
        </w:rPr>
        <w:t>¿Qué elementos considera en esos escenarios?</w:t>
      </w:r>
    </w:p>
    <w:p w:rsidR="00E67453" w:rsidRPr="00AF28F0" w:rsidRDefault="00E67453" w:rsidP="00E67453">
      <w:pPr>
        <w:pStyle w:val="Prrafodelista"/>
        <w:numPr>
          <w:ilvl w:val="0"/>
          <w:numId w:val="1"/>
        </w:numPr>
        <w:contextualSpacing w:val="0"/>
        <w:rPr>
          <w:rFonts w:asciiTheme="minorHAnsi" w:hAnsiTheme="minorHAnsi"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sz w:val="22"/>
          <w:szCs w:val="22"/>
          <w:lang w:val="es-ES_tradnl" w:eastAsia="en-US"/>
        </w:rPr>
        <w:t>¿Tiene la IMF definidos indicadores entre activos líquidos y requerimientos de liquidez de obligatorio cumplimiento por las unidades operativas?</w:t>
      </w:r>
    </w:p>
    <w:p w:rsidR="00E67453" w:rsidRPr="00AF28F0" w:rsidRDefault="00E67453" w:rsidP="00E67453">
      <w:pPr>
        <w:pStyle w:val="Prrafodelista"/>
        <w:numPr>
          <w:ilvl w:val="0"/>
          <w:numId w:val="1"/>
        </w:numPr>
        <w:contextualSpacing w:val="0"/>
        <w:rPr>
          <w:rFonts w:asciiTheme="minorHAnsi" w:hAnsiTheme="minorHAnsi"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sz w:val="22"/>
          <w:szCs w:val="22"/>
          <w:lang w:val="es-ES_tradnl" w:eastAsia="en-US"/>
        </w:rPr>
        <w:t>¿Ha desarrollado o adquirido sistemas para el apoyo en la gestión del riesgo de liquidez?</w:t>
      </w:r>
    </w:p>
    <w:p w:rsidR="00E67453" w:rsidRPr="00AF28F0" w:rsidRDefault="00E67453" w:rsidP="00E67453">
      <w:pPr>
        <w:pStyle w:val="Prrafodelista"/>
        <w:numPr>
          <w:ilvl w:val="0"/>
          <w:numId w:val="1"/>
        </w:numPr>
        <w:contextualSpacing w:val="0"/>
        <w:rPr>
          <w:rFonts w:asciiTheme="minorHAnsi" w:hAnsiTheme="minorHAnsi"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sz w:val="22"/>
          <w:szCs w:val="22"/>
          <w:lang w:val="es-ES_tradnl" w:eastAsia="en-US"/>
        </w:rPr>
        <w:t>¿Cuál es el proceso de análisis luego de una pérdida asociada al riesgo de liquidez?</w:t>
      </w:r>
    </w:p>
    <w:p w:rsidR="00E67453" w:rsidRPr="00AF28F0" w:rsidRDefault="00E67453" w:rsidP="00E67453">
      <w:pPr>
        <w:pStyle w:val="Prrafodelista"/>
        <w:numPr>
          <w:ilvl w:val="0"/>
          <w:numId w:val="1"/>
        </w:numPr>
        <w:contextualSpacing w:val="0"/>
        <w:rPr>
          <w:rFonts w:asciiTheme="minorHAnsi" w:hAnsiTheme="minorHAnsi"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sz w:val="22"/>
          <w:szCs w:val="22"/>
          <w:lang w:val="es-ES_tradnl" w:eastAsia="en-US"/>
        </w:rPr>
        <w:t>¿Se modifican los esquemas de mitigación producto de ese análisis?</w:t>
      </w:r>
    </w:p>
    <w:p w:rsidR="00E67453" w:rsidRPr="00AF28F0" w:rsidRDefault="00E67453" w:rsidP="00E67453">
      <w:pPr>
        <w:pStyle w:val="Prrafodelista"/>
        <w:numPr>
          <w:ilvl w:val="0"/>
          <w:numId w:val="1"/>
        </w:numPr>
        <w:contextualSpacing w:val="0"/>
        <w:rPr>
          <w:rFonts w:asciiTheme="minorHAnsi" w:hAnsiTheme="minorHAnsi"/>
          <w:sz w:val="22"/>
          <w:szCs w:val="22"/>
          <w:lang w:val="es-ES_tradnl" w:eastAsia="en-US"/>
        </w:rPr>
      </w:pPr>
      <w:r w:rsidRPr="00AF28F0">
        <w:rPr>
          <w:rFonts w:asciiTheme="minorHAnsi" w:hAnsiTheme="minorHAnsi"/>
          <w:sz w:val="22"/>
          <w:szCs w:val="22"/>
          <w:lang w:val="es-ES_tradnl" w:eastAsia="en-US"/>
        </w:rPr>
        <w:t xml:space="preserve">¿Con cuál frecuencia revisa su IMF los parámetros de las políticas de gestión de riesgo de liquidez? </w:t>
      </w:r>
    </w:p>
    <w:p w:rsidR="00E67453" w:rsidRDefault="00E67453" w:rsidP="00AF28F0">
      <w:pPr>
        <w:rPr>
          <w:lang w:val="es-ES_tradnl" w:eastAsia="en-US"/>
        </w:rPr>
      </w:pPr>
    </w:p>
    <w:p w:rsidR="00E07005" w:rsidRPr="00310FC2" w:rsidRDefault="00E07005" w:rsidP="00E07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Theme="minorHAnsi" w:hAnsiTheme="minorHAnsi"/>
          <w:sz w:val="22"/>
          <w:szCs w:val="22"/>
        </w:rPr>
      </w:pPr>
      <w:r w:rsidRPr="00310FC2">
        <w:rPr>
          <w:rFonts w:asciiTheme="minorHAnsi" w:hAnsiTheme="minorHAnsi"/>
          <w:sz w:val="22"/>
          <w:szCs w:val="22"/>
        </w:rPr>
        <w:t>Enviar las respuestas a más tardar el día</w:t>
      </w:r>
      <w:r w:rsidRPr="00310FC2">
        <w:rPr>
          <w:rFonts w:asciiTheme="minorHAnsi" w:hAnsiTheme="minorHAnsi"/>
          <w:b/>
          <w:sz w:val="22"/>
          <w:szCs w:val="22"/>
        </w:rPr>
        <w:t xml:space="preserve"> viernes, 20 de noviembre del corriente año</w:t>
      </w:r>
      <w:r w:rsidRPr="00310FC2">
        <w:rPr>
          <w:rFonts w:asciiTheme="minorHAnsi" w:hAnsiTheme="minorHAnsi"/>
          <w:sz w:val="22"/>
          <w:szCs w:val="22"/>
        </w:rPr>
        <w:t xml:space="preserve">, en físico y por medio de correo electrónico a </w:t>
      </w:r>
      <w:hyperlink r:id="rId7" w:history="1">
        <w:r w:rsidRPr="00310FC2">
          <w:rPr>
            <w:rStyle w:val="Hipervnculo"/>
            <w:rFonts w:asciiTheme="minorHAnsi" w:hAnsiTheme="minorHAnsi"/>
            <w:sz w:val="22"/>
            <w:szCs w:val="22"/>
          </w:rPr>
          <w:t>kmiranda@conami.gob.ni</w:t>
        </w:r>
      </w:hyperlink>
      <w:r w:rsidRPr="00310FC2">
        <w:rPr>
          <w:rStyle w:val="Hipervnculo"/>
          <w:rFonts w:asciiTheme="minorHAnsi" w:hAnsiTheme="minorHAnsi"/>
          <w:sz w:val="22"/>
          <w:szCs w:val="22"/>
        </w:rPr>
        <w:t>,</w:t>
      </w:r>
      <w:hyperlink r:id="rId8" w:history="1"/>
      <w:r w:rsidRPr="00310FC2">
        <w:rPr>
          <w:rFonts w:asciiTheme="minorHAnsi" w:hAnsiTheme="minorHAnsi"/>
          <w:sz w:val="22"/>
          <w:szCs w:val="22"/>
        </w:rPr>
        <w:t xml:space="preserve"> y</w:t>
      </w:r>
      <w:r w:rsidRPr="00310FC2">
        <w:rPr>
          <w:rStyle w:val="Hipervnculo"/>
          <w:rFonts w:asciiTheme="minorHAnsi" w:hAnsiTheme="minorHAnsi"/>
          <w:sz w:val="22"/>
          <w:szCs w:val="22"/>
        </w:rPr>
        <w:t xml:space="preserve">  </w:t>
      </w:r>
      <w:hyperlink r:id="rId9" w:history="1">
        <w:r w:rsidRPr="00310FC2">
          <w:rPr>
            <w:rStyle w:val="Hipervnculo"/>
            <w:rFonts w:asciiTheme="minorHAnsi" w:hAnsiTheme="minorHAnsi"/>
            <w:sz w:val="22"/>
            <w:szCs w:val="22"/>
          </w:rPr>
          <w:t>correo@conami.gob.ni</w:t>
        </w:r>
      </w:hyperlink>
      <w:r w:rsidRPr="00310FC2">
        <w:rPr>
          <w:rStyle w:val="Hipervnculo"/>
          <w:rFonts w:asciiTheme="minorHAnsi" w:hAnsiTheme="minorHAnsi"/>
          <w:sz w:val="22"/>
          <w:szCs w:val="22"/>
        </w:rPr>
        <w:t xml:space="preserve">. </w:t>
      </w:r>
      <w:r w:rsidRPr="00310FC2">
        <w:rPr>
          <w:rStyle w:val="Hipervnculo"/>
          <w:rFonts w:asciiTheme="minorHAnsi" w:hAnsiTheme="minorHAnsi"/>
          <w:color w:val="auto"/>
          <w:sz w:val="22"/>
          <w:szCs w:val="22"/>
          <w:u w:val="none"/>
        </w:rPr>
        <w:t xml:space="preserve">Si tienen consultas sobre </w:t>
      </w:r>
      <w:r w:rsidRPr="00E07005">
        <w:rPr>
          <w:rStyle w:val="Hipervnculo"/>
          <w:rFonts w:asciiTheme="minorHAnsi" w:hAnsiTheme="minorHAnsi"/>
          <w:color w:val="auto"/>
          <w:sz w:val="22"/>
          <w:szCs w:val="22"/>
          <w:u w:val="none"/>
        </w:rPr>
        <w:t>este</w:t>
      </w:r>
      <w:r w:rsidRPr="00310FC2">
        <w:rPr>
          <w:rStyle w:val="Hipervnculo"/>
          <w:rFonts w:asciiTheme="minorHAnsi" w:hAnsiTheme="minorHAnsi"/>
          <w:color w:val="auto"/>
          <w:sz w:val="22"/>
          <w:szCs w:val="22"/>
          <w:u w:val="none"/>
        </w:rPr>
        <w:t xml:space="preserve"> cuestionario por favor enviarlas también a estas direcciones para que puedan ser atendidas.</w:t>
      </w:r>
    </w:p>
    <w:p w:rsidR="00E67453" w:rsidRPr="00E07005" w:rsidRDefault="00E67453" w:rsidP="00E67453">
      <w:pPr>
        <w:ind w:left="360"/>
        <w:rPr>
          <w:lang w:eastAsia="en-US"/>
        </w:rPr>
      </w:pPr>
    </w:p>
    <w:p w:rsidR="000470CC" w:rsidRPr="00E67453" w:rsidRDefault="0021491E">
      <w:pPr>
        <w:rPr>
          <w:lang w:val="es-ES_tradnl"/>
        </w:rPr>
      </w:pPr>
    </w:p>
    <w:sectPr w:rsidR="000470CC" w:rsidRPr="00E67453" w:rsidSect="00FA1AF6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1E" w:rsidRDefault="0021491E" w:rsidP="00E67453">
      <w:pPr>
        <w:spacing w:before="0" w:after="0"/>
      </w:pPr>
      <w:r>
        <w:separator/>
      </w:r>
    </w:p>
  </w:endnote>
  <w:endnote w:type="continuationSeparator" w:id="0">
    <w:p w:rsidR="0021491E" w:rsidRDefault="0021491E" w:rsidP="00E674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C2" w:rsidRDefault="003D4CC2">
    <w:pPr>
      <w:pStyle w:val="Piedepgina"/>
      <w:tabs>
        <w:tab w:val="clear" w:pos="4680"/>
        <w:tab w:val="clear" w:pos="9360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078AE" w:rsidRPr="00D078AE">
      <w:rPr>
        <w:caps/>
        <w:noProof/>
        <w:color w:val="5B9BD5" w:themeColor="accent1"/>
        <w:lang w:val="es-ES"/>
      </w:rPr>
      <w:t>2</w:t>
    </w:r>
    <w:r>
      <w:rPr>
        <w:caps/>
        <w:color w:val="5B9BD5" w:themeColor="accent1"/>
      </w:rPr>
      <w:fldChar w:fldCharType="end"/>
    </w:r>
  </w:p>
  <w:p w:rsidR="003D4CC2" w:rsidRDefault="003D4C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1E" w:rsidRDefault="0021491E" w:rsidP="00E67453">
      <w:pPr>
        <w:spacing w:before="0" w:after="0"/>
      </w:pPr>
      <w:r>
        <w:separator/>
      </w:r>
    </w:p>
  </w:footnote>
  <w:footnote w:type="continuationSeparator" w:id="0">
    <w:p w:rsidR="0021491E" w:rsidRDefault="0021491E" w:rsidP="00E67453">
      <w:pPr>
        <w:spacing w:before="0" w:after="0"/>
      </w:pPr>
      <w:r>
        <w:continuationSeparator/>
      </w:r>
    </w:p>
  </w:footnote>
  <w:footnote w:id="1">
    <w:p w:rsidR="00E67453" w:rsidRPr="00D92890" w:rsidRDefault="00E67453" w:rsidP="00E67453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ab/>
        <w:t xml:space="preserve">Comité de Supervisión Bancaria de Basilea. </w:t>
      </w:r>
      <w:r w:rsidRPr="00F30D89">
        <w:t>Basilea III: Coeficiente de cobertura de liquidez y herramientas de seguimiento del riesgo de liquidez</w:t>
      </w:r>
      <w:r>
        <w:t xml:space="preserve">. 2013.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12AF4"/>
    <w:multiLevelType w:val="hybridMultilevel"/>
    <w:tmpl w:val="00E6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90419"/>
    <w:multiLevelType w:val="multilevel"/>
    <w:tmpl w:val="C4520404"/>
    <w:lvl w:ilvl="0">
      <w:start w:val="1"/>
      <w:numFmt w:val="decimal"/>
      <w:suff w:val="space"/>
      <w:lvlText w:val="Pregunta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53"/>
    <w:rsid w:val="0021491E"/>
    <w:rsid w:val="003D4CC2"/>
    <w:rsid w:val="008E491D"/>
    <w:rsid w:val="00AF28F0"/>
    <w:rsid w:val="00B4060A"/>
    <w:rsid w:val="00D078AE"/>
    <w:rsid w:val="00E07005"/>
    <w:rsid w:val="00E660C5"/>
    <w:rsid w:val="00E67453"/>
    <w:rsid w:val="00E91DA8"/>
    <w:rsid w:val="00E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37353-DF52-4B59-B1C1-65A2A705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453"/>
    <w:pPr>
      <w:spacing w:before="120" w:after="120" w:line="240" w:lineRule="auto"/>
      <w:jc w:val="both"/>
    </w:pPr>
    <w:rPr>
      <w:rFonts w:ascii="Garamond" w:hAnsi="Garamond" w:cs="Times New Roman"/>
      <w:sz w:val="24"/>
      <w:szCs w:val="24"/>
      <w:lang w:val="es-MX" w:eastAsia="zh-C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F28F0"/>
    <w:pPr>
      <w:keepNext/>
      <w:keepLines/>
      <w:spacing w:before="240" w:after="240"/>
      <w:jc w:val="left"/>
      <w:outlineLvl w:val="0"/>
    </w:pPr>
    <w:rPr>
      <w:rFonts w:asciiTheme="minorHAnsi" w:eastAsiaTheme="majorEastAsia" w:hAnsiTheme="minorHAnsi" w:cstheme="majorBidi"/>
      <w:b/>
      <w:bCs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28F0"/>
    <w:rPr>
      <w:rFonts w:eastAsiaTheme="majorEastAsia" w:cstheme="majorBidi"/>
      <w:b/>
      <w:bCs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E67453"/>
    <w:pPr>
      <w:ind w:left="432" w:hanging="432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67453"/>
    <w:rPr>
      <w:rFonts w:ascii="Garamond" w:hAnsi="Garamond" w:cs="Times New Roman"/>
      <w:sz w:val="20"/>
      <w:szCs w:val="24"/>
      <w:lang w:val="es-MX" w:eastAsia="zh-CN"/>
    </w:rPr>
  </w:style>
  <w:style w:type="paragraph" w:styleId="Puesto">
    <w:name w:val="Title"/>
    <w:basedOn w:val="Normal"/>
    <w:next w:val="Normal"/>
    <w:link w:val="PuestoCar"/>
    <w:uiPriority w:val="10"/>
    <w:qFormat/>
    <w:rsid w:val="00E67453"/>
    <w:pPr>
      <w:pBdr>
        <w:bottom w:val="single" w:sz="8" w:space="4" w:color="auto"/>
      </w:pBdr>
      <w:spacing w:before="0"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28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67453"/>
    <w:rPr>
      <w:rFonts w:ascii="Garamond" w:eastAsiaTheme="majorEastAsia" w:hAnsi="Garamond" w:cstheme="majorBidi"/>
      <w:color w:val="323E4F" w:themeColor="text2" w:themeShade="BF"/>
      <w:spacing w:val="5"/>
      <w:kern w:val="28"/>
      <w:sz w:val="28"/>
      <w:szCs w:val="52"/>
      <w:lang w:val="es-MX" w:eastAsia="zh-CN"/>
    </w:rPr>
  </w:style>
  <w:style w:type="paragraph" w:styleId="Prrafodelista">
    <w:name w:val="List Paragraph"/>
    <w:basedOn w:val="Normal"/>
    <w:uiPriority w:val="34"/>
    <w:qFormat/>
    <w:rsid w:val="00E67453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unhideWhenUsed/>
    <w:rsid w:val="00E6745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6745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D4CC2"/>
    <w:pPr>
      <w:tabs>
        <w:tab w:val="center" w:pos="4680"/>
        <w:tab w:val="right" w:pos="9360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D4CC2"/>
    <w:rPr>
      <w:rFonts w:ascii="Garamond" w:hAnsi="Garamond" w:cs="Times New Roman"/>
      <w:sz w:val="24"/>
      <w:szCs w:val="24"/>
      <w:lang w:val="es-MX" w:eastAsia="zh-CN"/>
    </w:rPr>
  </w:style>
  <w:style w:type="paragraph" w:styleId="Piedepgina">
    <w:name w:val="footer"/>
    <w:basedOn w:val="Normal"/>
    <w:link w:val="PiedepginaCar"/>
    <w:uiPriority w:val="99"/>
    <w:unhideWhenUsed/>
    <w:rsid w:val="003D4CC2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CC2"/>
    <w:rPr>
      <w:rFonts w:ascii="Garamond" w:hAnsi="Garamond" w:cs="Times New Roman"/>
      <w:sz w:val="24"/>
      <w:szCs w:val="24"/>
      <w:lang w:val="es-MX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iranda@conami.gob.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rreo@conami.gob.n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Cuadra López</dc:creator>
  <cp:keywords/>
  <dc:description/>
  <cp:lastModifiedBy>Fanny Cuadra López</cp:lastModifiedBy>
  <cp:revision>5</cp:revision>
  <dcterms:created xsi:type="dcterms:W3CDTF">2015-11-12T21:19:00Z</dcterms:created>
  <dcterms:modified xsi:type="dcterms:W3CDTF">2015-11-12T21:55:00Z</dcterms:modified>
</cp:coreProperties>
</file>