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89D0" w14:textId="429FE141" w:rsidR="00A03816" w:rsidRDefault="00A03816">
      <w:pPr>
        <w:tabs>
          <w:tab w:val="left" w:pos="9072"/>
        </w:tabs>
      </w:pPr>
      <w:r>
        <w:t>.</w:t>
      </w:r>
    </w:p>
    <w:sdt>
      <w:sdtPr>
        <w:id w:val="1018421325"/>
        <w:docPartObj>
          <w:docPartGallery w:val="Cover Pages"/>
          <w:docPartUnique/>
        </w:docPartObj>
      </w:sdtPr>
      <w:sdtEndPr>
        <w:rPr>
          <w:rFonts w:ascii="Arial" w:hAnsi="Arial"/>
          <w:b/>
          <w:color w:val="FFFFFF" w:themeColor="background1"/>
          <w:sz w:val="24"/>
        </w:rPr>
      </w:sdtEndPr>
      <w:sdtContent>
        <w:p w14:paraId="143C935C" w14:textId="405A00C6" w:rsidR="00434EAD" w:rsidRDefault="00434EAD" w:rsidP="004C11F2">
          <w:pPr>
            <w:tabs>
              <w:tab w:val="left" w:pos="9072"/>
            </w:tabs>
            <w:rPr>
              <w:b/>
              <w:noProof/>
              <w:sz w:val="28"/>
              <w:szCs w:val="28"/>
              <w:lang w:eastAsia="es-NI"/>
            </w:rPr>
          </w:pPr>
          <w:r>
            <w:rPr>
              <w:noProof/>
              <w:lang w:eastAsia="es-NI"/>
            </w:rPr>
            <w:drawing>
              <wp:anchor distT="0" distB="0" distL="114300" distR="114300" simplePos="0" relativeHeight="251668480" behindDoc="1" locked="0" layoutInCell="1" allowOverlap="1" wp14:anchorId="12CDBE6D" wp14:editId="6E65D29F">
                <wp:simplePos x="0" y="0"/>
                <wp:positionH relativeFrom="margin">
                  <wp:posOffset>64297</wp:posOffset>
                </wp:positionH>
                <wp:positionV relativeFrom="paragraph">
                  <wp:posOffset>-358140</wp:posOffset>
                </wp:positionV>
                <wp:extent cx="5988050" cy="1445530"/>
                <wp:effectExtent l="0" t="0" r="0" b="254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43" t="13928"/>
                        <a:stretch/>
                      </pic:blipFill>
                      <pic:spPr bwMode="auto">
                        <a:xfrm>
                          <a:off x="0" y="0"/>
                          <a:ext cx="5988050" cy="14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82DB3E" w14:textId="65C4C143" w:rsidR="00434EAD" w:rsidRDefault="00B937F6" w:rsidP="00B937F6">
          <w:pPr>
            <w:tabs>
              <w:tab w:val="left" w:pos="1842"/>
              <w:tab w:val="left" w:pos="4052"/>
            </w:tabs>
            <w:rPr>
              <w:b/>
              <w:noProof/>
              <w:sz w:val="28"/>
              <w:szCs w:val="28"/>
              <w:lang w:eastAsia="es-NI"/>
            </w:rPr>
          </w:pPr>
          <w:r>
            <w:rPr>
              <w:b/>
              <w:noProof/>
              <w:sz w:val="28"/>
              <w:szCs w:val="28"/>
              <w:lang w:eastAsia="es-NI"/>
            </w:rPr>
            <w:tab/>
          </w:r>
          <w:r>
            <w:rPr>
              <w:b/>
              <w:noProof/>
              <w:sz w:val="28"/>
              <w:szCs w:val="28"/>
              <w:lang w:eastAsia="es-NI"/>
            </w:rPr>
            <w:tab/>
          </w:r>
        </w:p>
        <w:p w14:paraId="6D219730" w14:textId="77777777" w:rsidR="00434EAD" w:rsidRDefault="00434EAD">
          <w:pPr>
            <w:rPr>
              <w:b/>
              <w:noProof/>
              <w:sz w:val="28"/>
              <w:szCs w:val="28"/>
              <w:lang w:eastAsia="es-NI"/>
            </w:rPr>
          </w:pPr>
        </w:p>
        <w:p w14:paraId="4963D7C8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1659F092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136ECD82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1CCEBE1C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425FEF65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39FE2E69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7473C8C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32EAAEDC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0430C41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73A0DC0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56FCA82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CB8CEBE" w14:textId="22792225" w:rsidR="00434EAD" w:rsidRDefault="00434EAD" w:rsidP="00434EAD">
          <w:pPr>
            <w:pStyle w:val="Sinespaciado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62126D1" wp14:editId="18099BD8">
                    <wp:simplePos x="0" y="0"/>
                    <wp:positionH relativeFrom="margin">
                      <wp:posOffset>163210</wp:posOffset>
                    </wp:positionH>
                    <wp:positionV relativeFrom="paragraph">
                      <wp:posOffset>14442</wp:posOffset>
                    </wp:positionV>
                    <wp:extent cx="5996763" cy="1701209"/>
                    <wp:effectExtent l="0" t="0" r="0" b="0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6763" cy="17012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E36EED" w14:textId="52B89253" w:rsidR="00A03816" w:rsidRPr="00434EAD" w:rsidRDefault="00A03816" w:rsidP="00434E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56"/>
                                  </w:rPr>
                                </w:pPr>
                                <w:r w:rsidRPr="00434EA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56"/>
                                  </w:rPr>
                                  <w:t xml:space="preserve">Instructivo para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56"/>
                                  </w:rPr>
                                  <w:t>e</w:t>
                                </w:r>
                                <w:r w:rsidRPr="00434EAD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56"/>
                                  </w:rPr>
                                  <w:t>l Ingreso de Información en el Contrato Estándar para las IFIM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2126D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12.85pt;margin-top:1.15pt;width:472.2pt;height:1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" filled="f" stroked="f" strokeweight=".5pt">
                    <v:textbox>
                      <w:txbxContent>
                        <w:p w14:paraId="7AE36EED" w14:textId="52B89253" w:rsidR="00A03816" w:rsidRPr="00434EAD" w:rsidRDefault="00A03816" w:rsidP="00434EA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6"/>
                            </w:rPr>
                          </w:pPr>
                          <w:r w:rsidRPr="00434EA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6"/>
                            </w:rPr>
                            <w:t xml:space="preserve">Instructivo para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6"/>
                            </w:rPr>
                            <w:t>e</w:t>
                          </w:r>
                          <w:r w:rsidRPr="00434EAD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56"/>
                            </w:rPr>
                            <w:t>l Ingreso de Información en el Contrato Estándar para las IFIM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8E0300E" w14:textId="1332E49D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0BA06B8C" w14:textId="083F9485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44A80E6" w14:textId="605E456D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93FC362" w14:textId="17ED61D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E37598B" w14:textId="1E303225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C732C9F" w14:textId="4F2A402F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983A4CE" w14:textId="030D0691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A5652E5" w14:textId="47B55044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4CB6EFC9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119CEA2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618E3CE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33E85690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34DAE8C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393F686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7E653BBB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0CB178F6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0F7A2AF2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CCE3485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DC1AB67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A161D5F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D71B65A" w14:textId="77777777" w:rsidR="00434EAD" w:rsidRDefault="00434EAD" w:rsidP="00434EAD">
          <w:pPr>
            <w:pStyle w:val="Sinespaciado"/>
            <w:rPr>
              <w:noProof/>
            </w:rPr>
          </w:pPr>
        </w:p>
        <w:p w14:paraId="0B47190D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F23BCD8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67B141A6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2B12B60D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4198B67A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3E4EEECA" w14:textId="77777777" w:rsidR="00434EAD" w:rsidRDefault="00434EAD" w:rsidP="00434EAD">
          <w:pPr>
            <w:pStyle w:val="Sinespaciado"/>
            <w:jc w:val="center"/>
            <w:rPr>
              <w:noProof/>
            </w:rPr>
          </w:pPr>
        </w:p>
        <w:p w14:paraId="56896096" w14:textId="31F11E56" w:rsidR="00434EAD" w:rsidRDefault="00AA0F82" w:rsidP="00434EAD">
          <w:pPr>
            <w:pStyle w:val="Sinespaciado"/>
            <w:jc w:val="right"/>
            <w:rPr>
              <w:rFonts w:ascii="Times New Roman" w:hAnsi="Times New Roman" w:cs="Times New Roman"/>
              <w:b/>
              <w:color w:val="262626" w:themeColor="text1" w:themeTint="D9"/>
              <w:lang w:val="es-ES"/>
            </w:rPr>
          </w:pPr>
          <w:r>
            <w:rPr>
              <w:rFonts w:ascii="Times New Roman" w:hAnsi="Times New Roman" w:cs="Times New Roman"/>
              <w:b/>
              <w:color w:val="002060"/>
              <w:sz w:val="28"/>
            </w:rPr>
            <w:t>20 de octubre de 2017</w:t>
          </w:r>
        </w:p>
        <w:p w14:paraId="3A02ED72" w14:textId="0A2584BD" w:rsidR="00F1125C" w:rsidRPr="005D6E3D" w:rsidRDefault="00F1125C" w:rsidP="005D6E3D">
          <w:pPr>
            <w:rPr>
              <w:rFonts w:ascii="Times New Roman" w:eastAsiaTheme="minorEastAsia" w:hAnsi="Times New Roman" w:cs="Times New Roman"/>
              <w:b/>
              <w:color w:val="262626" w:themeColor="text1" w:themeTint="D9"/>
              <w:lang w:val="es-ES" w:eastAsia="es-NI"/>
            </w:rPr>
          </w:pPr>
          <w:r>
            <w:rPr>
              <w:noProof/>
              <w:lang w:eastAsia="es-NI"/>
            </w:rPr>
            <w:lastRenderedPageBreak/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3D1A970" wp14:editId="1AA21196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8C4C9DF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4A61963F" w14:textId="3A99A033" w:rsidR="004D3DB9" w:rsidRPr="005D6E3D" w:rsidRDefault="004D3DB9" w:rsidP="005D6E3D">
      <w:pPr>
        <w:shd w:val="clear" w:color="auto" w:fill="002060"/>
        <w:jc w:val="center"/>
        <w:rPr>
          <w:rFonts w:ascii="Arial" w:hAnsi="Arial"/>
          <w:b/>
          <w:color w:val="FFFFFF" w:themeColor="background1"/>
          <w:sz w:val="24"/>
        </w:rPr>
      </w:pPr>
      <w:r w:rsidRPr="00F1125C">
        <w:rPr>
          <w:rFonts w:ascii="Arial" w:hAnsi="Arial"/>
          <w:b/>
          <w:color w:val="FFFFFF" w:themeColor="background1"/>
          <w:sz w:val="24"/>
        </w:rPr>
        <w:t xml:space="preserve">Instructivo para el </w:t>
      </w:r>
      <w:r w:rsidR="00434EAD">
        <w:rPr>
          <w:rFonts w:ascii="Arial" w:hAnsi="Arial"/>
          <w:b/>
          <w:color w:val="FFFFFF" w:themeColor="background1"/>
          <w:sz w:val="24"/>
        </w:rPr>
        <w:t xml:space="preserve">Ingreso de información en </w:t>
      </w:r>
      <w:r w:rsidRPr="00F1125C">
        <w:rPr>
          <w:rFonts w:ascii="Arial" w:hAnsi="Arial"/>
          <w:b/>
          <w:color w:val="FFFFFF" w:themeColor="background1"/>
          <w:sz w:val="24"/>
        </w:rPr>
        <w:t>el Contrato Estándar para las IFIM</w:t>
      </w:r>
    </w:p>
    <w:tbl>
      <w:tblPr>
        <w:tblStyle w:val="Tabladecuadrcula1clara-nfasis5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04579F" w:rsidRPr="001513AB" w14:paraId="0ADD8417" w14:textId="77777777" w:rsidTr="00D7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E547D3" w14:textId="0EF844EB" w:rsidR="0004579F" w:rsidRPr="00C75D66" w:rsidRDefault="0004579F" w:rsidP="00F1125C">
            <w:pPr>
              <w:autoSpaceDE w:val="0"/>
              <w:autoSpaceDN w:val="0"/>
              <w:adjustRightInd w:val="0"/>
              <w:jc w:val="center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bookmarkStart w:id="0" w:name="_Toc409783595"/>
            <w:bookmarkStart w:id="1" w:name="_Toc409783600"/>
            <w:bookmarkStart w:id="2" w:name="_Toc391223897"/>
            <w:bookmarkStart w:id="3" w:name="_Toc409783602"/>
            <w:r w:rsidRPr="00C75D66"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  <w:t>Cláusulas</w:t>
            </w:r>
          </w:p>
        </w:tc>
        <w:tc>
          <w:tcPr>
            <w:tcW w:w="6663" w:type="dxa"/>
          </w:tcPr>
          <w:p w14:paraId="7FB2D68B" w14:textId="30C9ACC9" w:rsidR="0004579F" w:rsidRPr="00C75D66" w:rsidRDefault="0004579F" w:rsidP="001513A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r w:rsidRPr="00C75D66"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  <w:t>Información</w:t>
            </w:r>
          </w:p>
        </w:tc>
      </w:tr>
      <w:tr w:rsidR="0004579F" w:rsidRPr="001513AB" w14:paraId="10A0CAA0" w14:textId="77777777" w:rsidTr="00D70CA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F2127EA" w14:textId="74105724" w:rsidR="0004579F" w:rsidRPr="004C11F2" w:rsidRDefault="000F03B1" w:rsidP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>Tercera</w:t>
            </w:r>
            <w:r w:rsidR="0004579F"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 xml:space="preserve">: Comisiones, Gastos </w:t>
            </w:r>
            <w:r w:rsidR="0004579F"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y</w:t>
            </w:r>
            <w:r w:rsidR="0004579F"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 xml:space="preserve"> Cargos Conexos</w:t>
            </w:r>
            <w:r w:rsidR="001513AB"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.</w:t>
            </w:r>
          </w:p>
        </w:tc>
        <w:tc>
          <w:tcPr>
            <w:tcW w:w="6663" w:type="dxa"/>
          </w:tcPr>
          <w:p w14:paraId="64361DF0" w14:textId="428C41AB" w:rsidR="001B20EE" w:rsidRDefault="0004579F" w:rsidP="00C75D6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En esta cláusula deberán reflejarse todas las comisiones</w:t>
            </w:r>
            <w:r w:rsidR="00FA3C5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y</w:t>
            </w: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gastos que serán traslados al deudor, describiéndose para ello su concepto, </w:t>
            </w:r>
            <w:r w:rsidR="001B20EE"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forma de pago y </w:t>
            </w: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el monto o valor porcentual a cobrar, así como el monto sobre el cual se calculará el mismo. </w:t>
            </w:r>
          </w:p>
          <w:p w14:paraId="7895746A" w14:textId="77777777" w:rsidR="00953FC0" w:rsidRPr="00C75D66" w:rsidRDefault="00953FC0" w:rsidP="00953FC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</w:p>
          <w:p w14:paraId="00A7055B" w14:textId="77777777" w:rsidR="001B20EE" w:rsidRDefault="0004579F" w:rsidP="00C75D6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En el caso de que exista más de un cargo, deberán ser numerados. </w:t>
            </w:r>
          </w:p>
          <w:p w14:paraId="4C7C3951" w14:textId="77777777" w:rsidR="00953FC0" w:rsidRPr="00953FC0" w:rsidRDefault="00953FC0" w:rsidP="00953FC0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</w:p>
          <w:p w14:paraId="7184D9B4" w14:textId="79741117" w:rsidR="0004579F" w:rsidRPr="00200A4F" w:rsidRDefault="0004579F" w:rsidP="00C75D6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En el supuesto que no se le cobre al deudor ningún cargo, está cláusula </w:t>
            </w:r>
            <w:r w:rsidR="00C75D66"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deberá eliminarse del contrato.</w:t>
            </w:r>
          </w:p>
        </w:tc>
      </w:tr>
      <w:tr w:rsidR="0004579F" w:rsidRPr="001513AB" w14:paraId="6D082AA3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38A15E6" w14:textId="7F29B529" w:rsidR="0004579F" w:rsidRPr="004C11F2" w:rsidRDefault="001B20EE" w:rsidP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 xml:space="preserve">Octava: Mantenimiento </w:t>
            </w:r>
            <w:proofErr w:type="spellStart"/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d</w:t>
            </w: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>e</w:t>
            </w:r>
            <w:proofErr w:type="spellEnd"/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 xml:space="preserve"> Valor y Moneda </w:t>
            </w:r>
            <w:proofErr w:type="spellStart"/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d</w:t>
            </w: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>e</w:t>
            </w:r>
            <w:proofErr w:type="spellEnd"/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 xml:space="preserve"> Referencia</w:t>
            </w:r>
            <w:r w:rsidR="001513AB"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.</w:t>
            </w:r>
          </w:p>
        </w:tc>
        <w:tc>
          <w:tcPr>
            <w:tcW w:w="6663" w:type="dxa"/>
          </w:tcPr>
          <w:p w14:paraId="5FC03D9A" w14:textId="45EF4328" w:rsidR="00782957" w:rsidRPr="00200A4F" w:rsidRDefault="001B20EE" w:rsidP="00200A4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Calibri" w:cs="Arial"/>
                <w:b w:val="0"/>
                <w:sz w:val="22"/>
                <w:szCs w:val="22"/>
              </w:rPr>
            </w:pP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Esta cláusula será utilizada cuando el crédito que está siendo instrumentado sea otorgado en Moneda Nacional (Córdobas), sujeto a mantenimiento de valor con respecto al Dólar de los Estados Unidos de Norteamérica (U$ Dólar), en los términos establecidos en el artículo 38 de la Ley No. 732</w:t>
            </w:r>
            <w:r w:rsid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,</w:t>
            </w: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Ley Orgánica del Banco Central de Nicaragua y el artículo 31 de la Resolución No. CD-CONAMI-004-01MAY26-2014, Norma sobre Transparencia en las Operaciones de Microfinanzas</w:t>
            </w:r>
            <w:r w:rsid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.</w:t>
            </w:r>
          </w:p>
        </w:tc>
      </w:tr>
      <w:tr w:rsidR="0004579F" w:rsidRPr="001513AB" w14:paraId="4582026A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D58AC6B" w14:textId="037A0610" w:rsidR="0004579F" w:rsidRPr="004C11F2" w:rsidRDefault="001B20EE" w:rsidP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>Décima: Fianza Solidaria</w:t>
            </w:r>
            <w:r w:rsidR="001513AB" w:rsidRPr="004C11F2">
              <w:rPr>
                <w:rStyle w:val="Ttulo2Car"/>
                <w:rFonts w:eastAsia="Arial Unicode MS" w:cs="Arial"/>
                <w:b/>
                <w:sz w:val="22"/>
                <w:szCs w:val="22"/>
                <w:lang w:val="es-NI"/>
              </w:rPr>
              <w:t>.</w:t>
            </w:r>
          </w:p>
        </w:tc>
        <w:tc>
          <w:tcPr>
            <w:tcW w:w="6663" w:type="dxa"/>
          </w:tcPr>
          <w:p w14:paraId="69311372" w14:textId="77777777" w:rsidR="00915DFA" w:rsidRDefault="00915DFA" w:rsidP="00915DF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  <w:r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En caso de ser garantizada la obligación por medio de 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Fianza </w:t>
            </w:r>
            <w:r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Solidaria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, deberá hacerse conforme lo establecido en el </w:t>
            </w:r>
            <w:r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Título XXI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del Código Civil de la República de Nicaragua. </w:t>
            </w:r>
          </w:p>
          <w:p w14:paraId="6D366008" w14:textId="77777777" w:rsidR="00953FC0" w:rsidRDefault="00953FC0" w:rsidP="00953FC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</w:p>
          <w:p w14:paraId="740B5523" w14:textId="19C00534" w:rsidR="00915DFA" w:rsidRDefault="00915DFA" w:rsidP="00915DF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  <w:r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Identificar y numerar a cada fiador o fiadores en observancia</w:t>
            </w:r>
            <w:r w:rsidR="006D21E9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a</w:t>
            </w:r>
            <w:r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lo dispuesto en el numeral 2 artículo 10 </w:t>
            </w: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de la Resolución No. CD-CONAMI-004-01MAY26-2014, Norma sobre</w:t>
            </w:r>
            <w:r w:rsidR="00AA0F82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</w:t>
            </w:r>
            <w:r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Transparencia en las Operaciones de Microfinanzas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, así como</w:t>
            </w:r>
            <w:r w:rsidR="006D21E9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,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identifica</w:t>
            </w:r>
            <w:r w:rsidR="00782957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rl</w:t>
            </w:r>
            <w:r w:rsidR="001B20EE" w:rsidRPr="001513AB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os como comparecientes en la parte introductoria del contrato. </w:t>
            </w:r>
          </w:p>
          <w:p w14:paraId="0D37E38C" w14:textId="77777777" w:rsidR="00953FC0" w:rsidRPr="00953FC0" w:rsidRDefault="00953FC0" w:rsidP="00953FC0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</w:pPr>
          </w:p>
          <w:p w14:paraId="66CF9B34" w14:textId="1A18A1CD" w:rsidR="00782957" w:rsidRPr="00782957" w:rsidRDefault="00782957">
            <w:pPr>
              <w:pStyle w:val="CM53"/>
              <w:numPr>
                <w:ilvl w:val="0"/>
                <w:numId w:val="3"/>
              </w:numPr>
              <w:tabs>
                <w:tab w:val="left" w:pos="3402"/>
              </w:tabs>
              <w:spacing w:line="228" w:lineRule="atLeast"/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Theme="minorEastAsia" w:cs="Arial"/>
                <w:b w:val="0"/>
                <w:bCs w:val="0"/>
                <w:iCs w:val="0"/>
                <w:sz w:val="22"/>
                <w:szCs w:val="22"/>
                <w:lang w:val="es-NI" w:eastAsia="es-NI"/>
              </w:rPr>
            </w:pPr>
            <w:r w:rsidRPr="00782957">
              <w:rPr>
                <w:rFonts w:ascii="Arial" w:eastAsia="Times New Roman" w:hAnsi="Arial" w:cs="Arial"/>
                <w:sz w:val="22"/>
                <w:szCs w:val="22"/>
              </w:rPr>
              <w:t>En el caso de que no opere la constitución de esta garantía deberá eliminarse del contenido del contrato.</w:t>
            </w:r>
          </w:p>
        </w:tc>
      </w:tr>
      <w:tr w:rsidR="0004579F" w:rsidRPr="001513AB" w14:paraId="18816BB1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7A38542" w14:textId="3E03FD67" w:rsidR="0004579F" w:rsidRPr="004C11F2" w:rsidRDefault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b/>
                <w:sz w:val="22"/>
                <w:szCs w:val="22"/>
                <w:lang w:val="es-NI"/>
              </w:rPr>
            </w:pPr>
            <w:r w:rsidRPr="004C11F2">
              <w:rPr>
                <w:rStyle w:val="Ttulo2Car"/>
                <w:rFonts w:eastAsia="Arial Unicode MS" w:cs="Arial"/>
                <w:b/>
                <w:iCs w:val="0"/>
                <w:sz w:val="22"/>
                <w:szCs w:val="22"/>
              </w:rPr>
              <w:t xml:space="preserve">Décimo Primera: Garantía </w:t>
            </w:r>
            <w:r w:rsidR="00F85A29" w:rsidRPr="004C11F2">
              <w:rPr>
                <w:rStyle w:val="Ttulo2Car"/>
                <w:rFonts w:eastAsia="Arial Unicode MS" w:cs="Arial"/>
                <w:b/>
                <w:iCs w:val="0"/>
                <w:sz w:val="22"/>
                <w:szCs w:val="22"/>
                <w:lang w:val="es-NI"/>
              </w:rPr>
              <w:t>Mobiliaria</w:t>
            </w:r>
          </w:p>
        </w:tc>
        <w:tc>
          <w:tcPr>
            <w:tcW w:w="6663" w:type="dxa"/>
          </w:tcPr>
          <w:p w14:paraId="0F7BE198" w14:textId="65C92752" w:rsidR="00F42226" w:rsidRDefault="00F42226">
            <w:pPr>
              <w:pStyle w:val="CM53"/>
              <w:numPr>
                <w:ilvl w:val="0"/>
                <w:numId w:val="3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</w:pPr>
            <w:r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>La cláusula que regula la Garantía Mobiliaria deberá observar y cumplir las disposiciones contenidas en la Ley No. 936, Ley de Garantías Mobiliarias, publicada en La Gaceta, Diario Oficial No. 200, del 25 de octubre de 2016.</w:t>
            </w:r>
          </w:p>
          <w:p w14:paraId="39D79EB2" w14:textId="77777777" w:rsidR="00F42226" w:rsidRDefault="00F42226" w:rsidP="004C11F2">
            <w:pPr>
              <w:pStyle w:val="CM53"/>
              <w:spacing w:line="228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</w:pPr>
          </w:p>
          <w:p w14:paraId="27D36F5F" w14:textId="3A1D40A5" w:rsidR="00AE648E" w:rsidRPr="00EA122D" w:rsidRDefault="00F85A29">
            <w:pPr>
              <w:pStyle w:val="CM53"/>
              <w:numPr>
                <w:ilvl w:val="0"/>
                <w:numId w:val="3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</w:pPr>
            <w:r w:rsidRPr="00AE648E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>En</w:t>
            </w:r>
            <w:r w:rsidR="001A6B36" w:rsidRPr="00AE648E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 </w:t>
            </w:r>
            <w:r w:rsidR="00F42226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>el</w:t>
            </w:r>
            <w:r w:rsidR="001A6B36" w:rsidRPr="00AE648E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 caso que se otorgue garantía sobre varios bienes, los mismos podrán detallarse en documento adjunto al contrato</w:t>
            </w:r>
            <w:r w:rsidR="00AE648E" w:rsidRPr="00AE648E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, </w:t>
            </w:r>
            <w:r w:rsidR="00F42226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bajo condición que </w:t>
            </w:r>
            <w:r w:rsidR="00EA122D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dicho anexo </w:t>
            </w:r>
            <w:r w:rsidR="00F42226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debe ser firmado por las partes, a fin de que sea </w:t>
            </w:r>
            <w:r w:rsidR="00AE648E" w:rsidRPr="00EA122D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>considerado parte integrante e indisoluble</w:t>
            </w:r>
            <w:r w:rsidR="00EA122D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 del contrato</w:t>
            </w:r>
            <w:r w:rsidR="00AE648E" w:rsidRPr="00EA122D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t xml:space="preserve">, de acuerdo con lo establecido en el artículo 17, numeral 5 de la Ley No. 936, Ley de Garantías </w:t>
            </w:r>
            <w:r w:rsidR="00AE648E" w:rsidRPr="00EA122D"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  <w:lastRenderedPageBreak/>
              <w:t>Mobiliarias.</w:t>
            </w:r>
          </w:p>
          <w:p w14:paraId="75644D06" w14:textId="77777777" w:rsidR="00AE648E" w:rsidRDefault="00AE648E" w:rsidP="004C11F2">
            <w:pPr>
              <w:pStyle w:val="CM53"/>
              <w:spacing w:line="228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</w:pPr>
          </w:p>
          <w:p w14:paraId="23EBE441" w14:textId="77777777" w:rsidR="00AE648E" w:rsidRDefault="00AE648E" w:rsidP="004C11F2">
            <w:pPr>
              <w:pStyle w:val="CM53"/>
              <w:spacing w:line="228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Arial Unicode MS" w:cs="Arial"/>
                <w:b w:val="0"/>
                <w:bCs w:val="0"/>
                <w:iCs w:val="0"/>
                <w:sz w:val="22"/>
                <w:szCs w:val="22"/>
                <w:lang w:val="es-NI"/>
              </w:rPr>
            </w:pPr>
          </w:p>
          <w:p w14:paraId="618B6EC3" w14:textId="02E927B5" w:rsidR="001A6B36" w:rsidRPr="00953FC0" w:rsidRDefault="001A6B36" w:rsidP="004C11F2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ES"/>
              </w:rPr>
            </w:pPr>
            <w:r w:rsidRPr="004C11F2">
              <w:rPr>
                <w:rFonts w:ascii="Arial" w:hAnsi="Arial" w:cs="Arial"/>
                <w:color w:val="000000"/>
                <w:lang w:eastAsia="es-NI"/>
              </w:rPr>
              <w:t xml:space="preserve">En el caso de los bienes no registrados, </w:t>
            </w:r>
            <w:r w:rsidR="00EA122D">
              <w:rPr>
                <w:rFonts w:ascii="Arial" w:hAnsi="Arial" w:cs="Arial"/>
                <w:color w:val="000000"/>
                <w:lang w:eastAsia="es-NI"/>
              </w:rPr>
              <w:t xml:space="preserve">la titularidad dominical sobre dichos  bienes se evidenciará a través de </w:t>
            </w:r>
            <w:r w:rsidRPr="004C11F2">
              <w:rPr>
                <w:rFonts w:ascii="Arial" w:hAnsi="Arial" w:cs="Arial"/>
                <w:color w:val="000000"/>
                <w:lang w:eastAsia="es-NI"/>
              </w:rPr>
              <w:t>los datos de declaración notarial en la que conste la titularidad del garante sobre su condición de propietario del bien mueble afectado en garantía mobiliaria</w:t>
            </w:r>
            <w:r>
              <w:rPr>
                <w:rFonts w:ascii="Arial" w:hAnsi="Arial" w:cs="Arial"/>
                <w:bCs/>
              </w:rPr>
              <w:t xml:space="preserve"> y expresión que asumirá las responsabilidades civiles y penales que pudieran derivarse de la falsedad </w:t>
            </w:r>
            <w:r w:rsidR="001E217A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 inexactitud de esta declaración, de conformidad con lo establecido en el artículo 17, numeral 6.</w:t>
            </w:r>
          </w:p>
          <w:p w14:paraId="04602C70" w14:textId="77777777" w:rsidR="00953FC0" w:rsidRPr="00953FC0" w:rsidRDefault="00953FC0" w:rsidP="004C11F2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NI"/>
              </w:rPr>
            </w:pPr>
          </w:p>
          <w:p w14:paraId="6BE8CEC7" w14:textId="109D0CB7" w:rsidR="00782957" w:rsidRPr="004C11F2" w:rsidRDefault="00B33091" w:rsidP="00782957">
            <w:pPr>
              <w:pStyle w:val="CM53"/>
              <w:numPr>
                <w:ilvl w:val="0"/>
                <w:numId w:val="3"/>
              </w:numPr>
              <w:tabs>
                <w:tab w:val="left" w:pos="3402"/>
              </w:tabs>
              <w:spacing w:line="228" w:lineRule="atLeast"/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4C11F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Considerando que la garantía mobiliaria puede ser con o sin entrega de la posesión y que se permite la conversión de la misma, con reglas de publicidad específicas, cada IFIM debe dejar</w:t>
            </w:r>
            <w:r w:rsidR="00796FE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lo</w:t>
            </w:r>
            <w:r w:rsidRPr="004C11F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descrito en el contrato.  </w:t>
            </w:r>
          </w:p>
          <w:p w14:paraId="201BC8EC" w14:textId="77777777" w:rsidR="00782957" w:rsidRPr="00782957" w:rsidRDefault="00782957" w:rsidP="0078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 w:eastAsia="es-NI"/>
              </w:rPr>
            </w:pPr>
          </w:p>
          <w:p w14:paraId="65AF7DFE" w14:textId="11B37AB2" w:rsidR="00782957" w:rsidRPr="00821A26" w:rsidRDefault="00782957" w:rsidP="00821A26">
            <w:pPr>
              <w:pStyle w:val="CM53"/>
              <w:numPr>
                <w:ilvl w:val="0"/>
                <w:numId w:val="3"/>
              </w:numPr>
              <w:tabs>
                <w:tab w:val="left" w:pos="3402"/>
              </w:tabs>
              <w:spacing w:line="228" w:lineRule="atLeast"/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782957">
              <w:rPr>
                <w:rFonts w:ascii="Arial" w:eastAsia="Times New Roman" w:hAnsi="Arial" w:cs="Arial"/>
                <w:sz w:val="22"/>
                <w:szCs w:val="22"/>
              </w:rPr>
              <w:t>En el caso de que no opere la constitución de esta garantía deberá eliminarse del contenido del contrato.</w:t>
            </w:r>
          </w:p>
        </w:tc>
      </w:tr>
      <w:tr w:rsidR="0004579F" w:rsidRPr="001513AB" w14:paraId="528DC567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80D26CA" w14:textId="3D252A52" w:rsidR="0004579F" w:rsidRPr="004C11F2" w:rsidRDefault="00C75D66" w:rsidP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b/>
                <w:sz w:val="22"/>
                <w:szCs w:val="22"/>
              </w:rPr>
            </w:pPr>
            <w:r w:rsidRPr="004C11F2">
              <w:rPr>
                <w:rStyle w:val="Ttulo2Car"/>
                <w:rFonts w:eastAsia="Arial Unicode MS" w:cs="Arial"/>
                <w:b/>
                <w:sz w:val="22"/>
                <w:szCs w:val="22"/>
              </w:rPr>
              <w:t>Décimo Segunda: Garantía Hipotecaria.</w:t>
            </w:r>
          </w:p>
        </w:tc>
        <w:tc>
          <w:tcPr>
            <w:tcW w:w="6663" w:type="dxa"/>
          </w:tcPr>
          <w:p w14:paraId="69A359FE" w14:textId="7D15317C" w:rsidR="00A41525" w:rsidRDefault="00A41525" w:rsidP="00782957">
            <w:pPr>
              <w:pStyle w:val="CM53"/>
              <w:numPr>
                <w:ilvl w:val="0"/>
                <w:numId w:val="4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pacing w:val="-3"/>
                <w:sz w:val="22"/>
                <w:szCs w:val="22"/>
              </w:rPr>
            </w:pPr>
            <w:r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Identificar la persona que otorga en hipoteca el bien inmueble, es decir, en calidad de Deudor y Garante H</w:t>
            </w:r>
            <w:r w:rsidR="001513AB"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ipotecario, o bien, la persona que comparece como </w:t>
            </w:r>
            <w:r w:rsidR="006E67B4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“</w:t>
            </w:r>
            <w:r w:rsidR="001513AB"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Fiador Solidario</w:t>
            </w:r>
            <w:r w:rsidR="006E67B4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” y “Garante” </w:t>
            </w:r>
            <w:r w:rsidR="001513AB"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 también puede fungir como Garante Hipotecario, debiendo dejarse claramente expresado en el contrato.</w:t>
            </w:r>
          </w:p>
          <w:p w14:paraId="2511F5A6" w14:textId="77777777" w:rsidR="00953FC0" w:rsidRPr="00953FC0" w:rsidRDefault="00953FC0" w:rsidP="0095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NI"/>
              </w:rPr>
            </w:pPr>
          </w:p>
          <w:p w14:paraId="7FE14659" w14:textId="11BA623F" w:rsidR="00A41525" w:rsidRDefault="00A41525" w:rsidP="00782957">
            <w:pPr>
              <w:pStyle w:val="CM53"/>
              <w:numPr>
                <w:ilvl w:val="0"/>
                <w:numId w:val="4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Cumplir con las formalidades legales requeridas para </w:t>
            </w:r>
            <w:r w:rsidR="00532108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su </w:t>
            </w:r>
            <w:r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constitución</w:t>
            </w:r>
            <w:r w:rsidR="00532108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,</w:t>
            </w:r>
            <w:r w:rsidRPr="00A41525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 derechos y efectos atribuidos a esta garantía, conforme lo estable el Código Civil de la República de Nicaragua, en su Título </w:t>
            </w:r>
            <w:r w:rsidRPr="00A41525">
              <w:rPr>
                <w:rFonts w:ascii="Arial" w:hAnsi="Arial" w:cs="Arial"/>
                <w:color w:val="000000"/>
                <w:sz w:val="22"/>
                <w:szCs w:val="22"/>
              </w:rPr>
              <w:t xml:space="preserve">XXIII, a partir del artículo 3771 </w:t>
            </w:r>
            <w:r w:rsidR="00547325">
              <w:rPr>
                <w:rFonts w:ascii="Arial" w:hAnsi="Arial" w:cs="Arial"/>
                <w:color w:val="000000"/>
                <w:sz w:val="22"/>
                <w:szCs w:val="22"/>
              </w:rPr>
              <w:t>y siguientes</w:t>
            </w:r>
            <w:r w:rsidRPr="00A4152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D09BA8B" w14:textId="77777777" w:rsidR="00953FC0" w:rsidRPr="00953FC0" w:rsidRDefault="00953FC0" w:rsidP="0095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NI"/>
              </w:rPr>
            </w:pPr>
          </w:p>
          <w:p w14:paraId="210F9F95" w14:textId="7B9439EF" w:rsidR="00044037" w:rsidRDefault="00A41525" w:rsidP="00782957">
            <w:pPr>
              <w:pStyle w:val="CM53"/>
              <w:numPr>
                <w:ilvl w:val="0"/>
                <w:numId w:val="4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D</w:t>
            </w:r>
            <w:r w:rsidR="00044037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escribir de forma</w:t>
            </w:r>
            <w:r w:rsidR="001513AB" w:rsidRPr="001513AB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 exacta </w:t>
            </w:r>
            <w:r w:rsidR="00044037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el bien inmueble y relacionar el documento </w:t>
            </w:r>
            <w:r w:rsidR="001513AB" w:rsidRPr="001513AB">
              <w:rPr>
                <w:rFonts w:ascii="Arial" w:hAnsi="Arial" w:cs="Arial"/>
                <w:bCs/>
                <w:sz w:val="22"/>
                <w:szCs w:val="22"/>
              </w:rPr>
              <w:t xml:space="preserve">en que consta la titularidad dominical </w:t>
            </w:r>
            <w:r w:rsidR="001513AB" w:rsidRPr="001513AB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de la persona que comparece como Garante Hipotecario,</w:t>
            </w:r>
            <w:r w:rsidR="00044037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 </w:t>
            </w:r>
            <w:r w:rsidR="00044037" w:rsidRPr="001513AB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conforme los campos descritos en el formato de contrato, </w:t>
            </w:r>
            <w:r w:rsidR="00044037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 xml:space="preserve">y cumpliendo con </w:t>
            </w:r>
            <w:r w:rsidR="001513AB" w:rsidRPr="001513AB">
              <w:rPr>
                <w:rFonts w:ascii="Arial" w:eastAsia="Arial Unicode MS" w:hAnsi="Arial" w:cs="Arial"/>
                <w:spacing w:val="-3"/>
                <w:sz w:val="22"/>
                <w:szCs w:val="22"/>
              </w:rPr>
              <w:t>la L</w:t>
            </w:r>
            <w:r w:rsidR="001513AB" w:rsidRPr="001513AB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E44511">
              <w:rPr>
                <w:rFonts w:ascii="Arial" w:hAnsi="Arial" w:cs="Arial"/>
                <w:sz w:val="22"/>
                <w:szCs w:val="22"/>
              </w:rPr>
              <w:t xml:space="preserve">correspondiente. </w:t>
            </w:r>
            <w:r w:rsidR="001513AB" w:rsidRPr="001513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464D26" w14:textId="77777777" w:rsidR="00953FC0" w:rsidRPr="00953FC0" w:rsidRDefault="00953FC0" w:rsidP="0095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NI"/>
              </w:rPr>
            </w:pPr>
          </w:p>
          <w:p w14:paraId="02AF49B4" w14:textId="77777777" w:rsidR="0004579F" w:rsidRDefault="001513AB" w:rsidP="00782957">
            <w:pPr>
              <w:pStyle w:val="CM53"/>
              <w:numPr>
                <w:ilvl w:val="0"/>
                <w:numId w:val="4"/>
              </w:numPr>
              <w:spacing w:line="22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13AB">
              <w:rPr>
                <w:rFonts w:ascii="Arial" w:hAnsi="Arial" w:cs="Arial"/>
                <w:sz w:val="22"/>
                <w:szCs w:val="22"/>
              </w:rPr>
              <w:t xml:space="preserve">Para poder determinar el grado de la Hipoteca y conforme las responsabilidades determinadas para el oficio del </w:t>
            </w:r>
            <w:r w:rsidR="00044037">
              <w:rPr>
                <w:rFonts w:ascii="Arial" w:hAnsi="Arial" w:cs="Arial"/>
                <w:sz w:val="22"/>
                <w:szCs w:val="22"/>
              </w:rPr>
              <w:t>Notario Público</w:t>
            </w:r>
            <w:r w:rsidRPr="001513AB">
              <w:rPr>
                <w:rFonts w:ascii="Arial" w:hAnsi="Arial" w:cs="Arial"/>
                <w:sz w:val="22"/>
                <w:szCs w:val="22"/>
              </w:rPr>
              <w:t>, deberán describirse los datos de la Libertad de Gravamen del bien inmueble objeto de la garantía, la cual deberá ser reciente al otorgamiento del crédito.</w:t>
            </w:r>
          </w:p>
          <w:p w14:paraId="5C1AAE81" w14:textId="77777777" w:rsidR="00782957" w:rsidRPr="00782957" w:rsidRDefault="00782957" w:rsidP="00782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s-NI"/>
              </w:rPr>
            </w:pPr>
          </w:p>
          <w:p w14:paraId="705045AC" w14:textId="5793DDC2" w:rsidR="00953FC0" w:rsidRPr="00200A4F" w:rsidRDefault="00782957" w:rsidP="00200A4F">
            <w:pPr>
              <w:pStyle w:val="CM53"/>
              <w:numPr>
                <w:ilvl w:val="0"/>
                <w:numId w:val="4"/>
              </w:numPr>
              <w:tabs>
                <w:tab w:val="left" w:pos="3402"/>
              </w:tabs>
              <w:spacing w:line="228" w:lineRule="atLeast"/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782957">
              <w:rPr>
                <w:rFonts w:ascii="Arial" w:eastAsia="Times New Roman" w:hAnsi="Arial" w:cs="Arial"/>
                <w:sz w:val="22"/>
                <w:szCs w:val="22"/>
              </w:rPr>
              <w:t>En el caso de que no opere la constitución de esta garantía deberá eliminarse del contenido del contrato.</w:t>
            </w:r>
          </w:p>
        </w:tc>
      </w:tr>
      <w:tr w:rsidR="00B35650" w:rsidRPr="001513AB" w14:paraId="60BD8933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3364044" w14:textId="1B15C6B2" w:rsidR="00B35650" w:rsidRPr="00C75D66" w:rsidRDefault="00B35650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>
              <w:rPr>
                <w:rFonts w:ascii="Arial" w:eastAsia="Arial Unicode MS" w:hAnsi="Arial" w:cs="Arial"/>
                <w:spacing w:val="-3"/>
              </w:rPr>
              <w:lastRenderedPageBreak/>
              <w:t>Décima Tercera: Obligaciones del Deudor/Garante</w:t>
            </w:r>
          </w:p>
        </w:tc>
        <w:tc>
          <w:tcPr>
            <w:tcW w:w="6663" w:type="dxa"/>
          </w:tcPr>
          <w:p w14:paraId="434C49F1" w14:textId="42A69116" w:rsidR="00B35650" w:rsidRPr="004C11F2" w:rsidRDefault="00982D37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 w:rsidRPr="00982D37">
              <w:rPr>
                <w:rFonts w:ascii="Arial" w:eastAsia="Arial Unicode MS" w:hAnsi="Arial" w:cs="Arial"/>
                <w:bCs/>
                <w:spacing w:val="-3"/>
              </w:rPr>
              <w:t xml:space="preserve">En el Formato de Contrato Estándar se encuentra una propuesta sobre </w:t>
            </w:r>
            <w:r w:rsidR="00085BE7">
              <w:rPr>
                <w:rFonts w:ascii="Arial" w:eastAsia="Arial Unicode MS" w:hAnsi="Arial" w:cs="Arial"/>
                <w:bCs/>
                <w:spacing w:val="-3"/>
              </w:rPr>
              <w:t xml:space="preserve">las </w:t>
            </w:r>
            <w:r w:rsidRPr="00982D37">
              <w:rPr>
                <w:rFonts w:ascii="Arial" w:eastAsia="Arial Unicode MS" w:hAnsi="Arial" w:cs="Arial"/>
                <w:bCs/>
                <w:spacing w:val="-3"/>
              </w:rPr>
              <w:t xml:space="preserve">obligaciones de las partes contratantes, </w:t>
            </w:r>
            <w:r w:rsidR="007C4194">
              <w:rPr>
                <w:rFonts w:ascii="Arial" w:eastAsia="Arial Unicode MS" w:hAnsi="Arial" w:cs="Arial"/>
                <w:bCs/>
                <w:spacing w:val="-3"/>
              </w:rPr>
              <w:t xml:space="preserve">específicamente para el Deudor, </w:t>
            </w:r>
            <w:r w:rsidRPr="00982D37">
              <w:rPr>
                <w:rFonts w:ascii="Arial" w:eastAsia="Arial Unicode MS" w:hAnsi="Arial" w:cs="Arial"/>
                <w:bCs/>
                <w:spacing w:val="-3"/>
              </w:rPr>
              <w:t xml:space="preserve">sin embargo, cuando se constituya garantía mobiliaria, </w:t>
            </w:r>
            <w:r w:rsidR="007C4194">
              <w:rPr>
                <w:rFonts w:ascii="Arial" w:eastAsia="Arial Unicode MS" w:hAnsi="Arial" w:cs="Arial"/>
                <w:bCs/>
                <w:spacing w:val="-3"/>
              </w:rPr>
              <w:t>deberá realizarse una adecuación en atención</w:t>
            </w:r>
            <w:r w:rsidRPr="00982D37">
              <w:rPr>
                <w:rFonts w:ascii="Arial" w:eastAsia="Arial Unicode MS" w:hAnsi="Arial" w:cs="Arial"/>
                <w:bCs/>
                <w:spacing w:val="-3"/>
              </w:rPr>
              <w:t xml:space="preserve"> a lo establecido en el artículo 20 de la Ley No. 936, Ley de Garant</w:t>
            </w:r>
            <w:r>
              <w:rPr>
                <w:rFonts w:ascii="Arial" w:eastAsia="Arial Unicode MS" w:hAnsi="Arial" w:cs="Arial"/>
                <w:bCs/>
                <w:spacing w:val="-3"/>
              </w:rPr>
              <w:t>ías Mobiliarias.</w:t>
            </w:r>
          </w:p>
        </w:tc>
      </w:tr>
      <w:tr w:rsidR="00B35650" w:rsidRPr="001513AB" w14:paraId="346A6D5D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38A0AE9" w14:textId="279F387A" w:rsidR="00B35650" w:rsidRPr="00C75D66" w:rsidRDefault="00B35650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>
              <w:rPr>
                <w:rFonts w:ascii="Arial" w:eastAsia="Arial Unicode MS" w:hAnsi="Arial" w:cs="Arial"/>
                <w:spacing w:val="-3"/>
              </w:rPr>
              <w:t>Décima Cuarta: Derechos del Deudor</w:t>
            </w:r>
            <w:r w:rsidR="00982D37">
              <w:rPr>
                <w:rFonts w:ascii="Arial" w:eastAsia="Arial Unicode MS" w:hAnsi="Arial" w:cs="Arial"/>
                <w:spacing w:val="-3"/>
              </w:rPr>
              <w:t>/Garante</w:t>
            </w:r>
            <w:r>
              <w:rPr>
                <w:rFonts w:ascii="Arial" w:eastAsia="Arial Unicode MS" w:hAnsi="Arial" w:cs="Arial"/>
                <w:spacing w:val="-3"/>
              </w:rPr>
              <w:t>.</w:t>
            </w:r>
          </w:p>
        </w:tc>
        <w:tc>
          <w:tcPr>
            <w:tcW w:w="6663" w:type="dxa"/>
          </w:tcPr>
          <w:p w14:paraId="61D145AA" w14:textId="6CA04D1D" w:rsidR="00B35650" w:rsidRPr="004C11F2" w:rsidRDefault="00982D37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 w:rsidRPr="004C11F2">
              <w:rPr>
                <w:rFonts w:ascii="Arial" w:eastAsia="Arial Unicode MS" w:hAnsi="Arial" w:cs="Arial"/>
                <w:bCs/>
                <w:spacing w:val="-3"/>
              </w:rPr>
              <w:t xml:space="preserve">En el Formato de Contrato Estándar se encuentra una propuesta sobre </w:t>
            </w:r>
            <w:r w:rsidR="00085BE7">
              <w:rPr>
                <w:rFonts w:ascii="Arial" w:eastAsia="Arial Unicode MS" w:hAnsi="Arial" w:cs="Arial"/>
                <w:bCs/>
                <w:spacing w:val="-3"/>
              </w:rPr>
              <w:t xml:space="preserve">los </w:t>
            </w:r>
            <w:r w:rsidRPr="004C11F2">
              <w:rPr>
                <w:rFonts w:ascii="Arial" w:eastAsia="Arial Unicode MS" w:hAnsi="Arial" w:cs="Arial"/>
                <w:bCs/>
                <w:spacing w:val="-3"/>
              </w:rPr>
              <w:t>derechos de las partes contratantes</w:t>
            </w:r>
            <w:r w:rsidR="00085BE7">
              <w:rPr>
                <w:rFonts w:ascii="Arial" w:eastAsia="Arial Unicode MS" w:hAnsi="Arial" w:cs="Arial"/>
                <w:bCs/>
                <w:spacing w:val="-3"/>
              </w:rPr>
              <w:t xml:space="preserve">, </w:t>
            </w:r>
            <w:r w:rsidR="007C4194" w:rsidRPr="004C11F2">
              <w:rPr>
                <w:rFonts w:ascii="Arial" w:eastAsia="Arial Unicode MS" w:hAnsi="Arial" w:cs="Arial"/>
                <w:bCs/>
                <w:spacing w:val="-3"/>
              </w:rPr>
              <w:t>específicamente para el Deudor, sin embargo, cuando se constituya garantía mobiliaria, deberá realizarse una adecuación en atención a lo establecido en el artículo 20 de la Ley No. 936, Ley de Garantías Mobiliarias.</w:t>
            </w:r>
          </w:p>
        </w:tc>
      </w:tr>
      <w:tr w:rsidR="00F63E3F" w:rsidRPr="001513AB" w14:paraId="06AA81AE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C824127" w14:textId="17BFF176" w:rsidR="00F63E3F" w:rsidRPr="00C75D66" w:rsidRDefault="00F63E3F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>
              <w:rPr>
                <w:rFonts w:ascii="Arial" w:eastAsia="Arial Unicode MS" w:hAnsi="Arial" w:cs="Arial"/>
                <w:spacing w:val="-3"/>
              </w:rPr>
              <w:t>Décima Quinta: Derechos y Obligaciones del Acreedor</w:t>
            </w:r>
          </w:p>
        </w:tc>
        <w:tc>
          <w:tcPr>
            <w:tcW w:w="6663" w:type="dxa"/>
          </w:tcPr>
          <w:p w14:paraId="0C0A6AA9" w14:textId="622592F5" w:rsidR="00F63E3F" w:rsidRPr="004C11F2" w:rsidRDefault="007C4194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 w:rsidRPr="00810786">
              <w:rPr>
                <w:rFonts w:ascii="Arial" w:eastAsia="Arial Unicode MS" w:hAnsi="Arial" w:cs="Arial"/>
                <w:bCs/>
                <w:spacing w:val="-3"/>
              </w:rPr>
              <w:t xml:space="preserve">En el Formato de Contrato Estándar se encuentra una propuesta sobre derechos y obligaciones de las partes contratantes específicamente para el </w:t>
            </w:r>
            <w:r>
              <w:rPr>
                <w:rFonts w:ascii="Arial" w:eastAsia="Arial Unicode MS" w:hAnsi="Arial" w:cs="Arial"/>
                <w:bCs/>
                <w:spacing w:val="-3"/>
              </w:rPr>
              <w:t>Acreedor</w:t>
            </w:r>
            <w:r w:rsidRPr="00810786">
              <w:rPr>
                <w:rFonts w:ascii="Arial" w:eastAsia="Arial Unicode MS" w:hAnsi="Arial" w:cs="Arial"/>
                <w:bCs/>
                <w:spacing w:val="-3"/>
              </w:rPr>
              <w:t>, sin embargo, cuando se constituya garantía mobiliaria, deberá realizarse una adecuación en atención a lo establecido en el art</w:t>
            </w:r>
            <w:r>
              <w:rPr>
                <w:rFonts w:ascii="Arial" w:eastAsia="Arial Unicode MS" w:hAnsi="Arial" w:cs="Arial"/>
                <w:bCs/>
                <w:spacing w:val="-3"/>
              </w:rPr>
              <w:t>ículo 21</w:t>
            </w:r>
            <w:r w:rsidRPr="00810786">
              <w:rPr>
                <w:rFonts w:ascii="Arial" w:eastAsia="Arial Unicode MS" w:hAnsi="Arial" w:cs="Arial"/>
                <w:bCs/>
                <w:spacing w:val="-3"/>
              </w:rPr>
              <w:t xml:space="preserve"> de la Ley No. 936, Ley de Garantías Mobiliarias.</w:t>
            </w:r>
          </w:p>
        </w:tc>
      </w:tr>
      <w:tr w:rsidR="00BC781C" w:rsidRPr="001513AB" w14:paraId="25E082A4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0A0A018" w14:textId="275FED78" w:rsidR="00BC781C" w:rsidRPr="00C75D66" w:rsidRDefault="00BC781C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>
              <w:rPr>
                <w:rFonts w:ascii="Arial" w:eastAsia="Arial Unicode MS" w:hAnsi="Arial" w:cs="Arial"/>
                <w:spacing w:val="-3"/>
              </w:rPr>
              <w:t>Décima Sexta: Permuta o Cesión de Créditos.</w:t>
            </w:r>
          </w:p>
        </w:tc>
        <w:tc>
          <w:tcPr>
            <w:tcW w:w="6663" w:type="dxa"/>
          </w:tcPr>
          <w:p w14:paraId="3D2A969B" w14:textId="4751FBF2" w:rsidR="00BC781C" w:rsidRPr="00600FB3" w:rsidRDefault="00BC781C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>
              <w:rPr>
                <w:rFonts w:ascii="Arial" w:eastAsia="Arial Unicode MS" w:hAnsi="Arial" w:cs="Arial"/>
                <w:bCs/>
                <w:spacing w:val="-3"/>
              </w:rPr>
              <w:t>En este caso la IFIM deberá observar lo dispuesto en la Ley No. 936, Ley de Garantías Mobiliarias.</w:t>
            </w:r>
          </w:p>
        </w:tc>
      </w:tr>
      <w:tr w:rsidR="000F03B1" w:rsidRPr="001513AB" w14:paraId="602D479E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9FE360F" w14:textId="360CBA88" w:rsidR="000F03B1" w:rsidRDefault="000F03B1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 w:rsidRPr="00DF24CA">
              <w:rPr>
                <w:rFonts w:ascii="Arial" w:eastAsia="Arial Unicode MS" w:hAnsi="Arial" w:cs="Arial"/>
                <w:spacing w:val="-3"/>
              </w:rPr>
              <w:t>Vigésima</w:t>
            </w:r>
            <w:r w:rsidR="00AF4C0A">
              <w:rPr>
                <w:rFonts w:ascii="Arial" w:eastAsia="Arial Unicode MS" w:hAnsi="Arial" w:cs="Arial"/>
                <w:spacing w:val="-3"/>
              </w:rPr>
              <w:t>: Gastos y Honorarios Legales</w:t>
            </w:r>
          </w:p>
        </w:tc>
        <w:tc>
          <w:tcPr>
            <w:tcW w:w="6663" w:type="dxa"/>
          </w:tcPr>
          <w:p w14:paraId="586CC779" w14:textId="31185703" w:rsidR="000F03B1" w:rsidRPr="004C11F2" w:rsidRDefault="000F03B1" w:rsidP="004C11F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 w:rsidRPr="004C11F2">
              <w:rPr>
                <w:rFonts w:ascii="Arial" w:eastAsia="Arial Unicode MS" w:hAnsi="Arial" w:cs="Arial"/>
                <w:bCs/>
                <w:spacing w:val="-3"/>
              </w:rPr>
              <w:t>La constancia de cancelación de un crédito sin garantía no debe ser objeto de cobro, de conformidad con el párrafo primero artículo 18 de la</w:t>
            </w:r>
            <w:r w:rsidR="00910575" w:rsidRPr="004C11F2">
              <w:rPr>
                <w:rFonts w:ascii="Arial" w:eastAsia="Arial Unicode MS" w:hAnsi="Arial" w:cs="Arial"/>
                <w:bCs/>
                <w:spacing w:val="-3"/>
              </w:rPr>
              <w:t xml:space="preserve"> Resolución No. </w:t>
            </w:r>
            <w:r w:rsidR="00910575" w:rsidRPr="004C11F2">
              <w:rPr>
                <w:bCs/>
                <w:color w:val="000000" w:themeColor="text1"/>
                <w:lang w:eastAsia="es-NI"/>
              </w:rPr>
              <w:t>CD-</w:t>
            </w:r>
            <w:r w:rsidR="00910575" w:rsidRPr="004C11F2">
              <w:rPr>
                <w:bCs/>
                <w:color w:val="000000" w:themeColor="text1"/>
              </w:rPr>
              <w:t>CONAMI</w:t>
            </w:r>
            <w:r w:rsidR="00910575" w:rsidRPr="004C11F2">
              <w:rPr>
                <w:bCs/>
                <w:color w:val="000000" w:themeColor="text1"/>
                <w:lang w:eastAsia="es-NI"/>
              </w:rPr>
              <w:t>-004-01MAY26-20</w:t>
            </w:r>
            <w:r w:rsidR="00910575" w:rsidRPr="004C11F2">
              <w:rPr>
                <w:bCs/>
                <w:color w:val="000000" w:themeColor="text1"/>
              </w:rPr>
              <w:t>14</w:t>
            </w:r>
            <w:r w:rsidR="00910575" w:rsidRPr="004C11F2">
              <w:rPr>
                <w:bCs/>
                <w:color w:val="000000" w:themeColor="text1"/>
              </w:rPr>
              <w:t xml:space="preserve">, </w:t>
            </w:r>
            <w:r w:rsidRPr="004C11F2">
              <w:rPr>
                <w:rFonts w:ascii="Arial" w:eastAsia="Arial Unicode MS" w:hAnsi="Arial" w:cs="Arial"/>
                <w:bCs/>
                <w:spacing w:val="-3"/>
              </w:rPr>
              <w:t>Norma sobre Transparencia en las Operaciones de Microfinanzas.</w:t>
            </w:r>
          </w:p>
        </w:tc>
      </w:tr>
      <w:tr w:rsidR="0004579F" w:rsidRPr="001513AB" w14:paraId="65F0905D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3DAF524" w14:textId="0DCED666" w:rsidR="0004579F" w:rsidRPr="004C11F2" w:rsidRDefault="00C75D66">
            <w:pPr>
              <w:autoSpaceDE w:val="0"/>
              <w:autoSpaceDN w:val="0"/>
              <w:adjustRightInd w:val="0"/>
              <w:rPr>
                <w:rStyle w:val="Ttulo2Car"/>
                <w:rFonts w:eastAsia="Calibri" w:cs="Arial"/>
                <w:sz w:val="22"/>
                <w:szCs w:val="22"/>
              </w:rPr>
            </w:pPr>
            <w:r w:rsidRPr="004C11F2">
              <w:rPr>
                <w:rFonts w:ascii="Arial" w:eastAsia="Arial Unicode MS" w:hAnsi="Arial" w:cs="Arial"/>
                <w:spacing w:val="-3"/>
              </w:rPr>
              <w:t xml:space="preserve">Vigésima </w:t>
            </w:r>
            <w:r w:rsidR="000042E2">
              <w:rPr>
                <w:rFonts w:ascii="Arial" w:eastAsia="Arial Unicode MS" w:hAnsi="Arial" w:cs="Arial"/>
                <w:spacing w:val="-3"/>
              </w:rPr>
              <w:t>Primera</w:t>
            </w:r>
            <w:r w:rsidRPr="007A54EE">
              <w:rPr>
                <w:rFonts w:ascii="Arial" w:eastAsia="Arial Unicode MS" w:hAnsi="Arial" w:cs="Arial"/>
                <w:spacing w:val="-3"/>
              </w:rPr>
              <w:t>: Modificaciones al Contrato.</w:t>
            </w:r>
          </w:p>
        </w:tc>
        <w:tc>
          <w:tcPr>
            <w:tcW w:w="6663" w:type="dxa"/>
          </w:tcPr>
          <w:p w14:paraId="2A2FF5A6" w14:textId="5303C565" w:rsidR="001513AB" w:rsidRPr="00953FC0" w:rsidRDefault="001513AB" w:rsidP="00600FB3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Theme="minorHAnsi" w:cs="Arial"/>
                <w:b w:val="0"/>
                <w:bCs w:val="0"/>
                <w:iCs w:val="0"/>
                <w:sz w:val="22"/>
                <w:szCs w:val="22"/>
                <w:lang w:val="es-NI" w:eastAsia="en-US"/>
              </w:rPr>
            </w:pPr>
            <w:r w:rsidRPr="00600FB3">
              <w:rPr>
                <w:rFonts w:ascii="Arial" w:eastAsia="Arial Unicode MS" w:hAnsi="Arial" w:cs="Arial"/>
                <w:bCs/>
                <w:spacing w:val="-3"/>
              </w:rPr>
              <w:t>Esta Cláusula se</w:t>
            </w:r>
            <w:r w:rsidR="00C12C24" w:rsidRPr="00600FB3">
              <w:rPr>
                <w:rFonts w:ascii="Arial" w:eastAsia="Arial Unicode MS" w:hAnsi="Arial" w:cs="Arial"/>
                <w:bCs/>
                <w:spacing w:val="-3"/>
              </w:rPr>
              <w:t xml:space="preserve">rá utilizada cuando la IFIM </w:t>
            </w:r>
            <w:r w:rsidR="00600FB3" w:rsidRPr="00600FB3">
              <w:rPr>
                <w:rFonts w:ascii="Arial" w:eastAsia="Arial Unicode MS" w:hAnsi="Arial" w:cs="Arial"/>
                <w:bCs/>
                <w:spacing w:val="-3"/>
              </w:rPr>
              <w:t>vaya a realizar modificaciones al contrato vigente</w:t>
            </w:r>
            <w:r w:rsidR="00600FB3" w:rsidRPr="00600FB3">
              <w:rPr>
                <w:rFonts w:ascii="Arial" w:hAnsi="Arial" w:cs="Arial"/>
              </w:rPr>
              <w:t xml:space="preserve">, </w:t>
            </w:r>
            <w:r w:rsidRPr="00600FB3">
              <w:rPr>
                <w:rFonts w:ascii="Arial" w:hAnsi="Arial" w:cs="Arial"/>
                <w:lang w:val="es-ES"/>
              </w:rPr>
              <w:t>tales como nuevas cláusulas al mismo o reformar las existentes,</w:t>
            </w:r>
            <w:r w:rsidRPr="00600FB3">
              <w:rPr>
                <w:rFonts w:ascii="Arial" w:hAnsi="Arial" w:cs="Arial"/>
              </w:rPr>
              <w:t xml:space="preserve"> sie</w:t>
            </w:r>
            <w:r w:rsidR="00600FB3" w:rsidRPr="00600FB3">
              <w:rPr>
                <w:rFonts w:ascii="Arial" w:hAnsi="Arial" w:cs="Arial"/>
              </w:rPr>
              <w:t xml:space="preserve">mpre y cuando la posibilidad </w:t>
            </w:r>
            <w:r w:rsidR="00E85ECB">
              <w:rPr>
                <w:rFonts w:ascii="Arial" w:hAnsi="Arial" w:cs="Arial"/>
              </w:rPr>
              <w:t xml:space="preserve">de </w:t>
            </w:r>
            <w:r w:rsidRPr="00600FB3">
              <w:rPr>
                <w:rFonts w:ascii="Arial" w:hAnsi="Arial" w:cs="Arial"/>
              </w:rPr>
              <w:t xml:space="preserve">dicha modificación </w:t>
            </w:r>
            <w:r w:rsidR="00600FB3" w:rsidRPr="00600FB3">
              <w:rPr>
                <w:rFonts w:ascii="Arial" w:hAnsi="Arial" w:cs="Arial"/>
              </w:rPr>
              <w:t xml:space="preserve">sea notificada al cliente conforme lo dispuesto en </w:t>
            </w:r>
            <w:r w:rsidR="00600FB3">
              <w:rPr>
                <w:rFonts w:ascii="Arial" w:hAnsi="Arial" w:cs="Arial"/>
              </w:rPr>
              <w:t xml:space="preserve">los artículos 21 y 22 de la </w:t>
            </w:r>
            <w:r w:rsidR="00600FB3"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Resolución No. CD-CONAMI-004-01MAY26-2014, Norma sobre</w:t>
            </w:r>
            <w:r w:rsidR="00722B84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 xml:space="preserve"> </w:t>
            </w:r>
            <w:r w:rsidR="00600FB3" w:rsidRPr="00C75D66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Transparencia en las Operaciones de Microfinanzas</w:t>
            </w:r>
            <w:r w:rsidR="00600FB3">
              <w:rPr>
                <w:rStyle w:val="Ttulo2Car"/>
                <w:rFonts w:eastAsia="Arial Unicode MS" w:cs="Arial"/>
                <w:b w:val="0"/>
                <w:sz w:val="22"/>
                <w:szCs w:val="22"/>
                <w:lang w:val="es-NI"/>
              </w:rPr>
              <w:t>.</w:t>
            </w:r>
          </w:p>
          <w:p w14:paraId="590A7ECC" w14:textId="77777777" w:rsidR="00953FC0" w:rsidRDefault="00953FC0" w:rsidP="00953FC0">
            <w:pPr>
              <w:pStyle w:val="Prrafodelista"/>
              <w:tabs>
                <w:tab w:val="left" w:pos="0"/>
              </w:tabs>
              <w:ind w:left="360"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461DC2" w14:textId="207ABCF9" w:rsidR="0004579F" w:rsidRPr="001513AB" w:rsidRDefault="00600FB3" w:rsidP="00C14BEE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2Car"/>
                <w:rFonts w:eastAsia="Calibri" w:cs="Arial"/>
                <w:sz w:val="22"/>
                <w:szCs w:val="22"/>
                <w:lang w:val="es-NI"/>
              </w:rPr>
            </w:pPr>
            <w:r w:rsidRPr="00600FB3">
              <w:rPr>
                <w:rFonts w:ascii="Arial" w:hAnsi="Arial" w:cs="Arial"/>
              </w:rPr>
              <w:t xml:space="preserve">Si ésta cláusula no </w:t>
            </w:r>
            <w:r w:rsidR="00C14BEE">
              <w:rPr>
                <w:rFonts w:ascii="Arial" w:hAnsi="Arial" w:cs="Arial"/>
              </w:rPr>
              <w:t>ha sido</w:t>
            </w:r>
            <w:r w:rsidRPr="00600FB3">
              <w:rPr>
                <w:rFonts w:ascii="Arial" w:hAnsi="Arial" w:cs="Arial"/>
              </w:rPr>
              <w:t xml:space="preserve"> prevista en el contrato, la obligación contractual no será objeto de variación.</w:t>
            </w:r>
          </w:p>
        </w:tc>
      </w:tr>
      <w:tr w:rsidR="00B35650" w:rsidRPr="001513AB" w14:paraId="6E8D612A" w14:textId="77777777" w:rsidTr="00D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E21459B" w14:textId="76710CE1" w:rsidR="00B35650" w:rsidRPr="00C75D66" w:rsidRDefault="0039636A" w:rsidP="00202FF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pacing w:val="-3"/>
              </w:rPr>
            </w:pPr>
            <w:r>
              <w:rPr>
                <w:rFonts w:ascii="Arial" w:eastAsia="Arial Unicode MS" w:hAnsi="Arial" w:cs="Arial"/>
                <w:spacing w:val="-3"/>
              </w:rPr>
              <w:t>Autenticación</w:t>
            </w:r>
            <w:r w:rsidR="00722511">
              <w:rPr>
                <w:rFonts w:ascii="Arial" w:eastAsia="Arial Unicode MS" w:hAnsi="Arial" w:cs="Arial"/>
                <w:spacing w:val="-3"/>
              </w:rPr>
              <w:t xml:space="preserve"> de firma de las partes </w:t>
            </w:r>
            <w:bookmarkStart w:id="4" w:name="_GoBack"/>
            <w:bookmarkEnd w:id="4"/>
            <w:r w:rsidR="00722511">
              <w:rPr>
                <w:rFonts w:ascii="Arial" w:eastAsia="Arial Unicode MS" w:hAnsi="Arial" w:cs="Arial"/>
                <w:spacing w:val="-3"/>
              </w:rPr>
              <w:t>contratantes</w:t>
            </w:r>
          </w:p>
        </w:tc>
        <w:tc>
          <w:tcPr>
            <w:tcW w:w="6663" w:type="dxa"/>
          </w:tcPr>
          <w:p w14:paraId="2D77F8B7" w14:textId="2D202E50" w:rsidR="00B35650" w:rsidRPr="004C11F2" w:rsidRDefault="00F21BDE">
            <w:pPr>
              <w:pStyle w:val="Prrafodelista"/>
              <w:numPr>
                <w:ilvl w:val="0"/>
                <w:numId w:val="5"/>
              </w:numPr>
              <w:tabs>
                <w:tab w:val="left" w:pos="0"/>
              </w:tabs>
              <w:ind w:right="-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/>
                <w:spacing w:val="-3"/>
              </w:rPr>
            </w:pPr>
            <w:r>
              <w:rPr>
                <w:rFonts w:ascii="Arial" w:eastAsia="Arial Unicode MS" w:hAnsi="Arial" w:cs="Arial"/>
                <w:bCs/>
                <w:spacing w:val="-3"/>
              </w:rPr>
              <w:t xml:space="preserve">Cuando se trate de un </w:t>
            </w:r>
            <w:r w:rsidR="00722511">
              <w:rPr>
                <w:rFonts w:ascii="Arial" w:eastAsia="Arial Unicode MS" w:hAnsi="Arial" w:cs="Arial"/>
                <w:bCs/>
                <w:spacing w:val="-3"/>
              </w:rPr>
              <w:t>contrato de G</w:t>
            </w:r>
            <w:r w:rsidR="0039636A">
              <w:rPr>
                <w:rFonts w:ascii="Arial" w:eastAsia="Arial Unicode MS" w:hAnsi="Arial" w:cs="Arial"/>
                <w:bCs/>
                <w:spacing w:val="-3"/>
              </w:rPr>
              <w:t xml:space="preserve">arantía </w:t>
            </w:r>
            <w:r w:rsidR="00722511">
              <w:rPr>
                <w:rFonts w:ascii="Arial" w:eastAsia="Arial Unicode MS" w:hAnsi="Arial" w:cs="Arial"/>
                <w:bCs/>
                <w:spacing w:val="-3"/>
              </w:rPr>
              <w:t>M</w:t>
            </w:r>
            <w:r>
              <w:rPr>
                <w:rFonts w:ascii="Arial" w:eastAsia="Arial Unicode MS" w:hAnsi="Arial" w:cs="Arial"/>
                <w:bCs/>
                <w:spacing w:val="-3"/>
              </w:rPr>
              <w:t>obiliaria y que éste se</w:t>
            </w:r>
            <w:r w:rsidR="0039636A">
              <w:rPr>
                <w:rFonts w:ascii="Arial" w:eastAsia="Arial Unicode MS" w:hAnsi="Arial" w:cs="Arial"/>
                <w:bCs/>
                <w:spacing w:val="-3"/>
              </w:rPr>
              <w:t xml:space="preserve"> otorgue en documento privado, las Instituciones reguladas por la CONAMI</w:t>
            </w:r>
            <w:r w:rsidR="00722511">
              <w:rPr>
                <w:rFonts w:ascii="Arial" w:eastAsia="Arial Unicode MS" w:hAnsi="Arial" w:cs="Arial"/>
                <w:bCs/>
                <w:spacing w:val="-3"/>
              </w:rPr>
              <w:t xml:space="preserve"> a efectos de autenticar la firma de las partes contratantes usarán el “Ante Mí” y sello con la indicación del quinquenio del Notario, de conformidad con</w:t>
            </w:r>
            <w:r>
              <w:rPr>
                <w:rFonts w:ascii="Arial" w:eastAsia="Arial Unicode MS" w:hAnsi="Arial" w:cs="Arial"/>
                <w:bCs/>
                <w:spacing w:val="-3"/>
              </w:rPr>
              <w:t xml:space="preserve"> los dispuesto </w:t>
            </w:r>
            <w:r w:rsidR="00722511">
              <w:rPr>
                <w:rFonts w:ascii="Arial" w:eastAsia="Arial Unicode MS" w:hAnsi="Arial" w:cs="Arial"/>
                <w:bCs/>
                <w:spacing w:val="-3"/>
              </w:rPr>
              <w:t xml:space="preserve"> el artículo 16 y 17, numeral 5 de la Ley No. 936, Ley de Garantías Mobiliarias.</w:t>
            </w:r>
          </w:p>
        </w:tc>
      </w:tr>
      <w:bookmarkEnd w:id="0"/>
    </w:tbl>
    <w:p w14:paraId="0D0D1D9E" w14:textId="65E38D6D" w:rsidR="00F1125C" w:rsidRPr="001513AB" w:rsidRDefault="00F1125C" w:rsidP="00E253FC">
      <w:pPr>
        <w:autoSpaceDE w:val="0"/>
        <w:autoSpaceDN w:val="0"/>
        <w:adjustRightInd w:val="0"/>
        <w:jc w:val="both"/>
        <w:rPr>
          <w:rStyle w:val="Ttulo2Car"/>
          <w:rFonts w:eastAsia="Arial Unicode MS" w:cs="Arial"/>
          <w:b w:val="0"/>
          <w:sz w:val="22"/>
          <w:szCs w:val="22"/>
          <w:lang w:val="es-NI"/>
        </w:rPr>
      </w:pPr>
    </w:p>
    <w:p w14:paraId="2DDB44C5" w14:textId="5C63E376" w:rsidR="00722511" w:rsidRDefault="00722511">
      <w:pPr>
        <w:rPr>
          <w:rStyle w:val="Ttulo2Car"/>
          <w:rFonts w:eastAsia="Arial Unicode MS" w:cs="Arial"/>
          <w:sz w:val="22"/>
          <w:szCs w:val="22"/>
          <w:lang w:val="es-NI"/>
        </w:rPr>
      </w:pPr>
      <w:r>
        <w:rPr>
          <w:rStyle w:val="Ttulo2Car"/>
          <w:rFonts w:eastAsia="Arial Unicode MS" w:cs="Arial"/>
          <w:sz w:val="22"/>
          <w:szCs w:val="22"/>
          <w:lang w:val="es-NI"/>
        </w:rPr>
        <w:br w:type="page"/>
      </w:r>
    </w:p>
    <w:p w14:paraId="7F1A1009" w14:textId="77777777" w:rsidR="00B82B29" w:rsidRDefault="00B82B29" w:rsidP="00E253FC">
      <w:pPr>
        <w:autoSpaceDE w:val="0"/>
        <w:autoSpaceDN w:val="0"/>
        <w:adjustRightInd w:val="0"/>
        <w:jc w:val="both"/>
        <w:rPr>
          <w:rStyle w:val="Ttulo2Car"/>
          <w:rFonts w:eastAsia="Arial Unicode MS" w:cs="Arial"/>
          <w:sz w:val="22"/>
          <w:szCs w:val="22"/>
          <w:lang w:val="es-NI"/>
        </w:rPr>
      </w:pPr>
    </w:p>
    <w:p w14:paraId="4B35F364" w14:textId="24E09732" w:rsidR="00F1125C" w:rsidRPr="00600FB3" w:rsidRDefault="00600FB3" w:rsidP="00E253FC">
      <w:pPr>
        <w:autoSpaceDE w:val="0"/>
        <w:autoSpaceDN w:val="0"/>
        <w:adjustRightInd w:val="0"/>
        <w:jc w:val="both"/>
        <w:rPr>
          <w:rStyle w:val="Ttulo2Car"/>
          <w:rFonts w:eastAsia="Arial Unicode MS" w:cs="Arial"/>
          <w:sz w:val="22"/>
          <w:szCs w:val="22"/>
          <w:lang w:val="es-NI"/>
        </w:rPr>
      </w:pPr>
      <w:r w:rsidRPr="00600FB3">
        <w:rPr>
          <w:rStyle w:val="Ttulo2Car"/>
          <w:rFonts w:eastAsia="Arial Unicode MS" w:cs="Arial"/>
          <w:sz w:val="22"/>
          <w:szCs w:val="22"/>
          <w:lang w:val="es-NI"/>
        </w:rPr>
        <w:t>Puntos a tomar en cuenta:</w:t>
      </w:r>
    </w:p>
    <w:p w14:paraId="1A8B8225" w14:textId="77777777" w:rsidR="001513AB" w:rsidRDefault="001513AB" w:rsidP="008D09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513AB">
        <w:rPr>
          <w:rFonts w:ascii="Arial" w:hAnsi="Arial" w:cs="Arial"/>
        </w:rPr>
        <w:t xml:space="preserve">Redactar el contrato con tipo de letra Arial 12. </w:t>
      </w:r>
    </w:p>
    <w:p w14:paraId="660DC497" w14:textId="393BD343" w:rsidR="0069224C" w:rsidRDefault="0069224C" w:rsidP="008D09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372C">
        <w:rPr>
          <w:rFonts w:ascii="Arial" w:hAnsi="Arial" w:cs="Arial"/>
        </w:rPr>
        <w:t>El texto de las cláusulas deberá estar escrito en idioma español, evitando introducir frases, palabras o siglas en otro idioma, los que de ser indispensables, deberán ir acompañados de su correspondiente traducción al idioma español y/o de una explicación que la haga comprensible al usuario.</w:t>
      </w:r>
    </w:p>
    <w:p w14:paraId="318D5760" w14:textId="4F9DECBD" w:rsidR="00B53BB2" w:rsidRDefault="00B53BB2" w:rsidP="008D09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Redactar el contenido de las cláusulas con la mayor claridad, </w:t>
      </w:r>
      <w:r w:rsidRPr="00600FB3">
        <w:rPr>
          <w:rFonts w:ascii="Arial" w:hAnsi="Arial" w:cs="Arial"/>
        </w:rPr>
        <w:t>evitando ambigüedades o errores que puedan generar afectaciones a los usuarios.</w:t>
      </w:r>
    </w:p>
    <w:p w14:paraId="74BE77D2" w14:textId="77777777" w:rsidR="002A7C5C" w:rsidRDefault="00600FB3" w:rsidP="00F97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7C5C">
        <w:rPr>
          <w:rFonts w:ascii="Arial" w:hAnsi="Arial" w:cs="Arial"/>
        </w:rPr>
        <w:t>No dejar espacios en blanco.</w:t>
      </w:r>
    </w:p>
    <w:p w14:paraId="4B18181E" w14:textId="10D57075" w:rsidR="00B82B29" w:rsidRPr="002A7C5C" w:rsidRDefault="002A7C5C" w:rsidP="00F97BB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7C5C">
        <w:rPr>
          <w:rFonts w:ascii="Arial" w:hAnsi="Arial" w:cs="Arial"/>
        </w:rPr>
        <w:t>Sí d</w:t>
      </w:r>
      <w:r w:rsidR="00B82B29" w:rsidRPr="002A7C5C">
        <w:rPr>
          <w:rFonts w:ascii="Arial" w:hAnsi="Arial" w:cs="Arial"/>
        </w:rPr>
        <w:t>e acuerdo al producto o metod</w:t>
      </w:r>
      <w:r w:rsidR="007B06E6" w:rsidRPr="002A7C5C">
        <w:rPr>
          <w:rFonts w:ascii="Arial" w:hAnsi="Arial" w:cs="Arial"/>
        </w:rPr>
        <w:t>ología crediticia diseñado por la institución, no es aplicable</w:t>
      </w:r>
      <w:r w:rsidR="00B82B29" w:rsidRPr="002A7C5C">
        <w:rPr>
          <w:rFonts w:ascii="Arial" w:hAnsi="Arial" w:cs="Arial"/>
        </w:rPr>
        <w:t xml:space="preserve"> alguna de las cláusulas antes descritas, deberá omitirse en el modelo </w:t>
      </w:r>
      <w:r w:rsidR="00E85ECB">
        <w:rPr>
          <w:rFonts w:ascii="Arial" w:hAnsi="Arial" w:cs="Arial"/>
        </w:rPr>
        <w:t xml:space="preserve">de </w:t>
      </w:r>
      <w:r w:rsidR="00B82B29" w:rsidRPr="002A7C5C">
        <w:rPr>
          <w:rFonts w:ascii="Arial" w:hAnsi="Arial" w:cs="Arial"/>
        </w:rPr>
        <w:t>contrato.</w:t>
      </w:r>
    </w:p>
    <w:p w14:paraId="7B95D4E2" w14:textId="469D78D2" w:rsidR="001513AB" w:rsidRPr="001513AB" w:rsidRDefault="00600FB3" w:rsidP="008D097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la respectiva copia del contrato al cliente</w:t>
      </w:r>
      <w:r w:rsidR="00435C9A">
        <w:rPr>
          <w:rFonts w:ascii="Arial" w:hAnsi="Arial" w:cs="Arial"/>
        </w:rPr>
        <w:t xml:space="preserve"> así como sus anexos</w:t>
      </w:r>
      <w:r w:rsidR="00F21BDE">
        <w:rPr>
          <w:rFonts w:ascii="Arial" w:hAnsi="Arial" w:cs="Arial"/>
        </w:rPr>
        <w:t>: calendario de pago y resumen informativo</w:t>
      </w:r>
      <w:r w:rsidR="00435C9A">
        <w:rPr>
          <w:rFonts w:ascii="Arial" w:hAnsi="Arial" w:cs="Arial"/>
        </w:rPr>
        <w:t>, dejando evidencia de la entrega</w:t>
      </w:r>
      <w:r w:rsidR="001513AB" w:rsidRPr="001513AB">
        <w:rPr>
          <w:rFonts w:ascii="Arial" w:hAnsi="Arial" w:cs="Arial"/>
        </w:rPr>
        <w:t xml:space="preserve">. </w:t>
      </w:r>
    </w:p>
    <w:bookmarkEnd w:id="1"/>
    <w:p w14:paraId="5B75F17D" w14:textId="77777777" w:rsidR="00B82B29" w:rsidRDefault="00600FB3" w:rsidP="00B82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los modelos de contratos en la página web de la institución.</w:t>
      </w:r>
    </w:p>
    <w:bookmarkEnd w:id="2"/>
    <w:bookmarkEnd w:id="3"/>
    <w:p w14:paraId="62045677" w14:textId="1EB418A0" w:rsidR="00B82B29" w:rsidRDefault="00B82B29" w:rsidP="00B82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correspondencia a las garantías constituidas, sujetas a inscripción, verificar el cumplimiento de las formalidades prescritas en las leyes especiales.</w:t>
      </w:r>
    </w:p>
    <w:p w14:paraId="1FD2F224" w14:textId="4ED77364" w:rsidR="0069224C" w:rsidRDefault="0069224C" w:rsidP="00B82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hacer uso de </w:t>
      </w:r>
      <w:r w:rsidRPr="00EC372C">
        <w:rPr>
          <w:rFonts w:ascii="Arial" w:hAnsi="Arial" w:cs="Arial"/>
        </w:rPr>
        <w:t>“notas al pie”; “pie de página” o de asteriscos con referencias que puedan confundir o distraer al lector</w:t>
      </w:r>
      <w:r>
        <w:rPr>
          <w:rFonts w:ascii="Arial" w:hAnsi="Arial" w:cs="Arial"/>
        </w:rPr>
        <w:t>.</w:t>
      </w:r>
    </w:p>
    <w:p w14:paraId="43173A5A" w14:textId="0A4D90DE" w:rsidR="0069224C" w:rsidRPr="001513AB" w:rsidRDefault="0069224C" w:rsidP="00B82B2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contratos deberán ser firmados por las partes contratantes.</w:t>
      </w:r>
    </w:p>
    <w:p w14:paraId="3CC1E0E8" w14:textId="1D30A7DD" w:rsidR="00CF263A" w:rsidRDefault="00CF263A" w:rsidP="00B82B29">
      <w:pPr>
        <w:pStyle w:val="Prrafodelista"/>
        <w:tabs>
          <w:tab w:val="left" w:pos="3402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4"/>
        </w:rPr>
      </w:pPr>
    </w:p>
    <w:sectPr w:rsidR="00CF263A" w:rsidSect="00F1125C">
      <w:headerReference w:type="default" r:id="rId10"/>
      <w:pgSz w:w="12240" w:h="15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D456" w14:textId="77777777" w:rsidR="00265FB1" w:rsidRDefault="00265FB1" w:rsidP="004D3DB9">
      <w:pPr>
        <w:spacing w:after="0" w:line="240" w:lineRule="auto"/>
      </w:pPr>
      <w:r>
        <w:separator/>
      </w:r>
    </w:p>
  </w:endnote>
  <w:endnote w:type="continuationSeparator" w:id="0">
    <w:p w14:paraId="137DBE52" w14:textId="77777777" w:rsidR="00265FB1" w:rsidRDefault="00265FB1" w:rsidP="004D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6688" w14:textId="77777777" w:rsidR="00265FB1" w:rsidRDefault="00265FB1" w:rsidP="004D3DB9">
      <w:pPr>
        <w:spacing w:after="0" w:line="240" w:lineRule="auto"/>
      </w:pPr>
      <w:r>
        <w:separator/>
      </w:r>
    </w:p>
  </w:footnote>
  <w:footnote w:type="continuationSeparator" w:id="0">
    <w:p w14:paraId="26B025E1" w14:textId="77777777" w:rsidR="00265FB1" w:rsidRDefault="00265FB1" w:rsidP="004D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1156" w14:textId="610BEEE0" w:rsidR="00A03816" w:rsidRDefault="00A03816">
    <w:pPr>
      <w:pStyle w:val="Encabezado"/>
    </w:pPr>
    <w:r w:rsidRPr="00031EFD">
      <w:rPr>
        <w:b/>
        <w:noProof/>
        <w:sz w:val="28"/>
        <w:szCs w:val="28"/>
        <w:lang w:eastAsia="es-NI"/>
      </w:rPr>
      <w:drawing>
        <wp:anchor distT="0" distB="0" distL="114300" distR="114300" simplePos="0" relativeHeight="251659264" behindDoc="1" locked="0" layoutInCell="1" allowOverlap="1" wp14:anchorId="21D7E869" wp14:editId="690DE708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6238875" cy="774065"/>
          <wp:effectExtent l="0" t="0" r="9525" b="6985"/>
          <wp:wrapTight wrapText="bothSides">
            <wp:wrapPolygon edited="0">
              <wp:start x="0" y="0"/>
              <wp:lineTo x="0" y="21263"/>
              <wp:lineTo x="21567" y="21263"/>
              <wp:lineTo x="21567" y="0"/>
              <wp:lineTo x="0" y="0"/>
            </wp:wrapPolygon>
          </wp:wrapTight>
          <wp:docPr id="1" name="Imagen 1" descr="C:\Documents and Settings\rmurillo\Escritorio\CONAMI\CON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rmurillo\Escritorio\CONAMI\CON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34C"/>
    <w:multiLevelType w:val="hybridMultilevel"/>
    <w:tmpl w:val="6158D34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36FCE"/>
    <w:multiLevelType w:val="hybridMultilevel"/>
    <w:tmpl w:val="19124E3A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47C36"/>
    <w:multiLevelType w:val="hybridMultilevel"/>
    <w:tmpl w:val="CB16C0A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06BD1"/>
    <w:multiLevelType w:val="hybridMultilevel"/>
    <w:tmpl w:val="DDF45B1C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93214"/>
    <w:multiLevelType w:val="hybridMultilevel"/>
    <w:tmpl w:val="BCC20162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3A"/>
    <w:rsid w:val="000042E2"/>
    <w:rsid w:val="00044037"/>
    <w:rsid w:val="0004579F"/>
    <w:rsid w:val="00076369"/>
    <w:rsid w:val="00085BE7"/>
    <w:rsid w:val="0009559A"/>
    <w:rsid w:val="000F03B1"/>
    <w:rsid w:val="00113BC6"/>
    <w:rsid w:val="001513AB"/>
    <w:rsid w:val="001630A3"/>
    <w:rsid w:val="0018445D"/>
    <w:rsid w:val="001A6B36"/>
    <w:rsid w:val="001B20EE"/>
    <w:rsid w:val="001C21F9"/>
    <w:rsid w:val="001C7DF4"/>
    <w:rsid w:val="001E217A"/>
    <w:rsid w:val="001F0A04"/>
    <w:rsid w:val="001F2BF8"/>
    <w:rsid w:val="00200A4F"/>
    <w:rsid w:val="00202FFA"/>
    <w:rsid w:val="00265FB1"/>
    <w:rsid w:val="00277244"/>
    <w:rsid w:val="002940F6"/>
    <w:rsid w:val="002A7C5C"/>
    <w:rsid w:val="002C0807"/>
    <w:rsid w:val="0031767D"/>
    <w:rsid w:val="00347E1C"/>
    <w:rsid w:val="003546EE"/>
    <w:rsid w:val="0039636A"/>
    <w:rsid w:val="003A7ACC"/>
    <w:rsid w:val="0040222E"/>
    <w:rsid w:val="00434EAD"/>
    <w:rsid w:val="00435C9A"/>
    <w:rsid w:val="0046715B"/>
    <w:rsid w:val="004C11F2"/>
    <w:rsid w:val="004D3DB9"/>
    <w:rsid w:val="00532108"/>
    <w:rsid w:val="0053750E"/>
    <w:rsid w:val="00547325"/>
    <w:rsid w:val="00552C09"/>
    <w:rsid w:val="00553AFD"/>
    <w:rsid w:val="00583485"/>
    <w:rsid w:val="005A629A"/>
    <w:rsid w:val="005D22E3"/>
    <w:rsid w:val="005D43A2"/>
    <w:rsid w:val="005D6E3D"/>
    <w:rsid w:val="00600FB3"/>
    <w:rsid w:val="006173E4"/>
    <w:rsid w:val="00626333"/>
    <w:rsid w:val="006649C3"/>
    <w:rsid w:val="0066799D"/>
    <w:rsid w:val="0069224C"/>
    <w:rsid w:val="00695619"/>
    <w:rsid w:val="006C0422"/>
    <w:rsid w:val="006D21E9"/>
    <w:rsid w:val="006D4674"/>
    <w:rsid w:val="006E67B4"/>
    <w:rsid w:val="00722511"/>
    <w:rsid w:val="00722B84"/>
    <w:rsid w:val="0074254C"/>
    <w:rsid w:val="00773BF9"/>
    <w:rsid w:val="00782957"/>
    <w:rsid w:val="00796FEF"/>
    <w:rsid w:val="007A54EE"/>
    <w:rsid w:val="007B06E6"/>
    <w:rsid w:val="007C4194"/>
    <w:rsid w:val="007E38CC"/>
    <w:rsid w:val="00821A26"/>
    <w:rsid w:val="00837F99"/>
    <w:rsid w:val="008C7A78"/>
    <w:rsid w:val="008D0970"/>
    <w:rsid w:val="00910575"/>
    <w:rsid w:val="00915DFA"/>
    <w:rsid w:val="00953FC0"/>
    <w:rsid w:val="00954DA1"/>
    <w:rsid w:val="0096307B"/>
    <w:rsid w:val="00980664"/>
    <w:rsid w:val="00982D37"/>
    <w:rsid w:val="009B730D"/>
    <w:rsid w:val="00A03816"/>
    <w:rsid w:val="00A401FB"/>
    <w:rsid w:val="00A41525"/>
    <w:rsid w:val="00A53824"/>
    <w:rsid w:val="00A57211"/>
    <w:rsid w:val="00A652AB"/>
    <w:rsid w:val="00AA0F82"/>
    <w:rsid w:val="00AD4C26"/>
    <w:rsid w:val="00AE648E"/>
    <w:rsid w:val="00AF4C0A"/>
    <w:rsid w:val="00AF75D3"/>
    <w:rsid w:val="00B1781C"/>
    <w:rsid w:val="00B33091"/>
    <w:rsid w:val="00B35650"/>
    <w:rsid w:val="00B51535"/>
    <w:rsid w:val="00B53BB2"/>
    <w:rsid w:val="00B82B29"/>
    <w:rsid w:val="00B937F6"/>
    <w:rsid w:val="00BA0CAD"/>
    <w:rsid w:val="00BC781C"/>
    <w:rsid w:val="00BF5D0F"/>
    <w:rsid w:val="00C12C24"/>
    <w:rsid w:val="00C14BEE"/>
    <w:rsid w:val="00C43524"/>
    <w:rsid w:val="00C617D5"/>
    <w:rsid w:val="00C75D66"/>
    <w:rsid w:val="00CF263A"/>
    <w:rsid w:val="00D10408"/>
    <w:rsid w:val="00D56E74"/>
    <w:rsid w:val="00D70CA4"/>
    <w:rsid w:val="00D96D81"/>
    <w:rsid w:val="00DB064A"/>
    <w:rsid w:val="00DB08EF"/>
    <w:rsid w:val="00DB7E38"/>
    <w:rsid w:val="00DD31B2"/>
    <w:rsid w:val="00E253FC"/>
    <w:rsid w:val="00E44511"/>
    <w:rsid w:val="00E476AD"/>
    <w:rsid w:val="00E85ECB"/>
    <w:rsid w:val="00EA122D"/>
    <w:rsid w:val="00EC372C"/>
    <w:rsid w:val="00EF4DFB"/>
    <w:rsid w:val="00F0535C"/>
    <w:rsid w:val="00F1125C"/>
    <w:rsid w:val="00F21BDE"/>
    <w:rsid w:val="00F42226"/>
    <w:rsid w:val="00F518E9"/>
    <w:rsid w:val="00F57220"/>
    <w:rsid w:val="00F63E3F"/>
    <w:rsid w:val="00F85A29"/>
    <w:rsid w:val="00F873CC"/>
    <w:rsid w:val="00F97BBC"/>
    <w:rsid w:val="00FA3C56"/>
    <w:rsid w:val="00F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20256"/>
  <w15:chartTrackingRefBased/>
  <w15:docId w15:val="{71C9CD68-9A46-454C-9E3E-A7BBD2C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2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263A"/>
    <w:rPr>
      <w:rFonts w:ascii="Arial" w:eastAsia="Times New Roman" w:hAnsi="Arial" w:cs="Times New Roman"/>
      <w:b/>
      <w:bCs/>
      <w:iCs/>
      <w:sz w:val="24"/>
      <w:szCs w:val="28"/>
      <w:lang w:val="x-none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63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63A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CF263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3A"/>
    <w:rPr>
      <w:rFonts w:ascii="Segoe UI" w:hAnsi="Segoe UI" w:cs="Segoe UI"/>
      <w:sz w:val="18"/>
      <w:szCs w:val="18"/>
    </w:rPr>
  </w:style>
  <w:style w:type="paragraph" w:customStyle="1" w:styleId="CM53">
    <w:name w:val="CM53"/>
    <w:basedOn w:val="Normal"/>
    <w:next w:val="Normal"/>
    <w:uiPriority w:val="99"/>
    <w:rsid w:val="005D2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es-NI"/>
    </w:rPr>
  </w:style>
  <w:style w:type="paragraph" w:styleId="Prrafodelista">
    <w:name w:val="List Paragraph"/>
    <w:basedOn w:val="Normal"/>
    <w:uiPriority w:val="34"/>
    <w:qFormat/>
    <w:rsid w:val="004D3D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DB9"/>
  </w:style>
  <w:style w:type="paragraph" w:styleId="Piedepgina">
    <w:name w:val="footer"/>
    <w:basedOn w:val="Normal"/>
    <w:link w:val="PiedepginaCar"/>
    <w:uiPriority w:val="99"/>
    <w:unhideWhenUsed/>
    <w:rsid w:val="004D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DB9"/>
  </w:style>
  <w:style w:type="paragraph" w:styleId="Sinespaciado">
    <w:name w:val="No Spacing"/>
    <w:link w:val="SinespaciadoCar"/>
    <w:uiPriority w:val="1"/>
    <w:qFormat/>
    <w:rsid w:val="00F1125C"/>
    <w:pPr>
      <w:spacing w:after="0" w:line="240" w:lineRule="auto"/>
    </w:pPr>
    <w:rPr>
      <w:rFonts w:eastAsiaTheme="minorEastAsia"/>
      <w:lang w:eastAsia="es-N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125C"/>
    <w:rPr>
      <w:rFonts w:eastAsiaTheme="minorEastAsia"/>
      <w:lang w:eastAsia="es-NI"/>
    </w:rPr>
  </w:style>
  <w:style w:type="table" w:styleId="Tablaconcuadrcula">
    <w:name w:val="Table Grid"/>
    <w:basedOn w:val="Tablanormal"/>
    <w:uiPriority w:val="39"/>
    <w:rsid w:val="00F1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C75D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C75D6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C2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C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2015-03-05T00:00:00</PublishDate>
  <Abstract/>
  <CompanyAddress>Managua, 10 de julio de 2015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0E34A2-2BD8-4152-8F07-ABCA3970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el Llenado del Formato de Contrato Estándar para las IFIM´S</vt:lpstr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el Llenado del Formato de Contrato Estándar para las IFIM´S</dc:title>
  <dc:subject/>
  <dc:creator>Cristhian Marisela  García Tercero</dc:creator>
  <cp:keywords/>
  <dc:description/>
  <cp:lastModifiedBy>Yessenia Aguilar Quiñonez</cp:lastModifiedBy>
  <cp:revision>4</cp:revision>
  <cp:lastPrinted>2015-03-05T17:25:00Z</cp:lastPrinted>
  <dcterms:created xsi:type="dcterms:W3CDTF">2017-10-20T17:39:00Z</dcterms:created>
  <dcterms:modified xsi:type="dcterms:W3CDTF">2017-10-20T21:08:00Z</dcterms:modified>
</cp:coreProperties>
</file>